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宋体" w:hAnsi="宋体"/>
          <w:sz w:val="15"/>
          <w:szCs w:val="15"/>
          <w:lang w:val="en-US" w:eastAsia="zh-CN"/>
        </w:rPr>
      </w:pPr>
      <w:bookmarkStart w:id="12" w:name="_GoBack"/>
      <w:bookmarkEnd w:id="12"/>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val="en-US" w:eastAsia="zh-CN"/>
        </w:rPr>
      </w:pPr>
      <w:bookmarkStart w:id="0" w:name="_Toc1591"/>
      <w:r>
        <w:rPr>
          <w:rFonts w:hint="eastAsia" w:ascii="宋体" w:hAnsi="宋体" w:eastAsia="宋体" w:cs="宋体"/>
          <w:sz w:val="21"/>
          <w:szCs w:val="21"/>
          <w:lang w:val="en-US" w:eastAsia="zh-CN"/>
        </w:rPr>
        <w:t>5其它</w:t>
      </w:r>
      <w:bookmarkEnd w:id="0"/>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val="en-US" w:eastAsia="zh-CN"/>
        </w:rPr>
      </w:pPr>
      <w:bookmarkStart w:id="1" w:name="_Toc31037"/>
      <w:r>
        <w:rPr>
          <w:rFonts w:hint="eastAsia" w:ascii="宋体" w:hAnsi="宋体" w:eastAsia="宋体" w:cs="宋体"/>
          <w:sz w:val="21"/>
          <w:szCs w:val="21"/>
          <w:lang w:val="en-US" w:eastAsia="zh-CN"/>
        </w:rPr>
        <w:t>(1)大学生创新创业训练计划项目：广科机械加工厂</w:t>
      </w:r>
      <w:bookmarkEnd w:id="1"/>
    </w:p>
    <w:p>
      <w:pPr>
        <w:jc w:val="center"/>
        <w:rPr>
          <w:rFonts w:hint="eastAsia" w:ascii="宋体" w:hAnsi="宋体"/>
          <w:sz w:val="15"/>
          <w:szCs w:val="15"/>
          <w:lang w:val="en-US" w:eastAsia="zh-CN"/>
        </w:rPr>
      </w:pPr>
      <w:r>
        <w:rPr>
          <w:rFonts w:hint="eastAsia" w:ascii="宋体" w:hAnsi="宋体"/>
          <w:sz w:val="15"/>
          <w:szCs w:val="15"/>
          <w:lang w:val="en-US" w:eastAsia="zh-CN"/>
        </w:rPr>
        <w:drawing>
          <wp:inline distT="0" distB="0" distL="114300" distR="114300">
            <wp:extent cx="3334385" cy="4667885"/>
            <wp:effectExtent l="0" t="0" r="18415" b="18415"/>
            <wp:docPr id="57" name="图片 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
                    <pic:cNvPicPr>
                      <a:picLocks noChangeAspect="1"/>
                    </pic:cNvPicPr>
                  </pic:nvPicPr>
                  <pic:blipFill>
                    <a:blip r:embed="rId5"/>
                    <a:stretch>
                      <a:fillRect/>
                    </a:stretch>
                  </pic:blipFill>
                  <pic:spPr>
                    <a:xfrm>
                      <a:off x="0" y="0"/>
                      <a:ext cx="3334385" cy="4667885"/>
                    </a:xfrm>
                    <a:prstGeom prst="rect">
                      <a:avLst/>
                    </a:prstGeom>
                  </pic:spPr>
                </pic:pic>
              </a:graphicData>
            </a:graphic>
          </wp:inline>
        </w:drawing>
      </w:r>
    </w:p>
    <w:p>
      <w:pPr>
        <w:jc w:val="center"/>
        <w:rPr>
          <w:rFonts w:hint="eastAsia" w:ascii="宋体" w:hAnsi="宋体"/>
          <w:sz w:val="15"/>
          <w:szCs w:val="15"/>
          <w:lang w:val="en-US" w:eastAsia="zh-CN"/>
        </w:rPr>
      </w:pPr>
      <w:r>
        <w:rPr>
          <w:rFonts w:hint="eastAsia" w:ascii="宋体" w:hAnsi="宋体"/>
          <w:sz w:val="15"/>
          <w:szCs w:val="15"/>
          <w:lang w:val="en-US" w:eastAsia="zh-CN"/>
        </w:rPr>
        <w:drawing>
          <wp:inline distT="0" distB="0" distL="114300" distR="114300">
            <wp:extent cx="3277235" cy="3324860"/>
            <wp:effectExtent l="0" t="0" r="18415" b="8890"/>
            <wp:docPr id="58" name="图片 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
                    <pic:cNvPicPr>
                      <a:picLocks noChangeAspect="1"/>
                    </pic:cNvPicPr>
                  </pic:nvPicPr>
                  <pic:blipFill>
                    <a:blip r:embed="rId6"/>
                    <a:stretch>
                      <a:fillRect/>
                    </a:stretch>
                  </pic:blipFill>
                  <pic:spPr>
                    <a:xfrm>
                      <a:off x="0" y="0"/>
                      <a:ext cx="3277235" cy="3324860"/>
                    </a:xfrm>
                    <a:prstGeom prst="rect">
                      <a:avLst/>
                    </a:prstGeom>
                  </pic:spPr>
                </pic:pic>
              </a:graphicData>
            </a:graphic>
          </wp:inline>
        </w:drawing>
      </w:r>
    </w:p>
    <w:p>
      <w:pPr>
        <w:rPr>
          <w:rFonts w:hint="eastAsia" w:ascii="宋体" w:hAnsi="宋体"/>
          <w:sz w:val="15"/>
          <w:szCs w:val="15"/>
          <w:lang w:val="en-US" w:eastAsia="zh-CN"/>
        </w:rPr>
      </w:pPr>
    </w:p>
    <w:tbl>
      <w:tblPr>
        <w:tblStyle w:val="11"/>
        <w:tblW w:w="9800" w:type="dxa"/>
        <w:jc w:val="center"/>
        <w:tblInd w:w="0" w:type="dxa"/>
        <w:tblLayout w:type="fixed"/>
        <w:tblCellMar>
          <w:top w:w="0" w:type="dxa"/>
          <w:left w:w="108" w:type="dxa"/>
          <w:bottom w:w="0" w:type="dxa"/>
          <w:right w:w="108" w:type="dxa"/>
        </w:tblCellMar>
      </w:tblPr>
      <w:tblGrid>
        <w:gridCol w:w="793"/>
        <w:gridCol w:w="2792"/>
        <w:gridCol w:w="5046"/>
        <w:gridCol w:w="1169"/>
      </w:tblGrid>
      <w:tr>
        <w:tblPrEx>
          <w:tblLayout w:type="fixed"/>
          <w:tblCellMar>
            <w:top w:w="0" w:type="dxa"/>
            <w:left w:w="108" w:type="dxa"/>
            <w:bottom w:w="0" w:type="dxa"/>
            <w:right w:w="108" w:type="dxa"/>
          </w:tblCellMar>
        </w:tblPrEx>
        <w:trPr>
          <w:trHeight w:val="587" w:hRule="atLeast"/>
          <w:jc w:val="center"/>
        </w:trPr>
        <w:tc>
          <w:tcPr>
            <w:tcW w:w="3585" w:type="dxa"/>
            <w:gridSpan w:val="2"/>
            <w:tcBorders>
              <w:top w:val="nil"/>
              <w:left w:val="nil"/>
              <w:bottom w:val="nil"/>
              <w:right w:val="nil"/>
            </w:tcBorders>
            <w:vAlign w:val="center"/>
          </w:tcPr>
          <w:p>
            <w:pPr>
              <w:widowControl/>
              <w:jc w:val="left"/>
              <w:rPr>
                <w:rFonts w:ascii="Times New Roman" w:hAnsi="Times New Roman" w:eastAsia="楷体"/>
                <w:b/>
                <w:bCs/>
                <w:color w:val="000000"/>
                <w:kern w:val="0"/>
                <w:sz w:val="30"/>
                <w:szCs w:val="30"/>
              </w:rPr>
            </w:pPr>
            <w:r>
              <w:rPr>
                <w:rFonts w:ascii="Times New Roman" w:hAnsi="Times New Roman" w:eastAsia="楷体"/>
                <w:b/>
                <w:bCs/>
                <w:color w:val="000000"/>
                <w:kern w:val="0"/>
                <w:sz w:val="30"/>
                <w:szCs w:val="30"/>
              </w:rPr>
              <w:t>附件4：</w:t>
            </w:r>
          </w:p>
        </w:tc>
        <w:tc>
          <w:tcPr>
            <w:tcW w:w="5046" w:type="dxa"/>
            <w:tcBorders>
              <w:top w:val="nil"/>
              <w:left w:val="nil"/>
              <w:bottom w:val="nil"/>
              <w:right w:val="nil"/>
            </w:tcBorders>
            <w:vAlign w:val="center"/>
          </w:tcPr>
          <w:p>
            <w:pPr>
              <w:widowControl/>
              <w:jc w:val="center"/>
              <w:rPr>
                <w:rFonts w:ascii="Times New Roman" w:hAnsi="Times New Roman" w:eastAsia="楷体"/>
                <w:b/>
                <w:bCs/>
                <w:color w:val="000000"/>
                <w:kern w:val="0"/>
                <w:sz w:val="30"/>
                <w:szCs w:val="30"/>
              </w:rPr>
            </w:pPr>
          </w:p>
        </w:tc>
        <w:tc>
          <w:tcPr>
            <w:tcW w:w="1169" w:type="dxa"/>
            <w:tcBorders>
              <w:top w:val="nil"/>
              <w:left w:val="nil"/>
              <w:bottom w:val="nil"/>
              <w:right w:val="nil"/>
            </w:tcBorders>
            <w:vAlign w:val="center"/>
          </w:tcPr>
          <w:p>
            <w:pPr>
              <w:widowControl/>
              <w:jc w:val="center"/>
              <w:rPr>
                <w:rFonts w:ascii="Times New Roman" w:hAnsi="Times New Roman" w:eastAsia="楷体"/>
                <w:b/>
                <w:bCs/>
                <w:color w:val="000000"/>
                <w:kern w:val="0"/>
                <w:sz w:val="30"/>
                <w:szCs w:val="30"/>
              </w:rPr>
            </w:pPr>
          </w:p>
        </w:tc>
      </w:tr>
      <w:tr>
        <w:tblPrEx>
          <w:tblLayout w:type="fixed"/>
          <w:tblCellMar>
            <w:top w:w="0" w:type="dxa"/>
            <w:left w:w="108" w:type="dxa"/>
            <w:bottom w:w="0" w:type="dxa"/>
            <w:right w:w="108" w:type="dxa"/>
          </w:tblCellMar>
        </w:tblPrEx>
        <w:trPr>
          <w:trHeight w:val="1174" w:hRule="atLeast"/>
          <w:jc w:val="center"/>
        </w:trPr>
        <w:tc>
          <w:tcPr>
            <w:tcW w:w="9800" w:type="dxa"/>
            <w:gridSpan w:val="4"/>
            <w:tcBorders>
              <w:top w:val="nil"/>
              <w:left w:val="nil"/>
              <w:bottom w:val="single" w:color="auto" w:sz="4" w:space="0"/>
              <w:right w:val="nil"/>
            </w:tcBorders>
            <w:vAlign w:val="center"/>
          </w:tcPr>
          <w:p>
            <w:pPr>
              <w:widowControl/>
              <w:jc w:val="center"/>
              <w:rPr>
                <w:rFonts w:ascii="Times New Roman" w:hAnsi="Times New Roman" w:eastAsia="楷体"/>
                <w:b/>
                <w:bCs/>
                <w:color w:val="000000"/>
                <w:kern w:val="0"/>
                <w:sz w:val="30"/>
                <w:szCs w:val="30"/>
              </w:rPr>
            </w:pPr>
            <w:r>
              <w:rPr>
                <w:rFonts w:ascii="Times New Roman" w:hAnsi="Times New Roman" w:eastAsia="楷体"/>
                <w:b/>
                <w:bCs/>
                <w:color w:val="000000"/>
                <w:kern w:val="0"/>
                <w:sz w:val="30"/>
                <w:szCs w:val="30"/>
              </w:rPr>
              <w:t>2014年省高职教育大学生创新创业训练计划项目建设项目名单</w:t>
            </w:r>
          </w:p>
          <w:p>
            <w:pPr>
              <w:widowControl/>
              <w:jc w:val="center"/>
              <w:rPr>
                <w:rFonts w:ascii="Times New Roman" w:hAnsi="Times New Roman" w:eastAsia="楷体"/>
                <w:b/>
                <w:bCs/>
                <w:color w:val="000000"/>
                <w:kern w:val="0"/>
                <w:sz w:val="30"/>
                <w:szCs w:val="30"/>
              </w:rPr>
            </w:pPr>
            <w:r>
              <w:rPr>
                <w:rFonts w:ascii="Times New Roman" w:hAnsi="Times New Roman" w:eastAsia="楷体"/>
                <w:b/>
                <w:bCs/>
                <w:color w:val="000000"/>
                <w:kern w:val="0"/>
                <w:sz w:val="30"/>
                <w:szCs w:val="30"/>
              </w:rPr>
              <w:t>（排名不分先后）</w:t>
            </w:r>
          </w:p>
        </w:tc>
      </w:tr>
      <w:tr>
        <w:tblPrEx>
          <w:tblLayout w:type="fixed"/>
          <w:tblCellMar>
            <w:top w:w="0" w:type="dxa"/>
            <w:left w:w="108" w:type="dxa"/>
            <w:bottom w:w="0" w:type="dxa"/>
            <w:right w:w="108" w:type="dxa"/>
          </w:tblCellMar>
        </w:tblPrEx>
        <w:trPr>
          <w:trHeight w:val="837"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b/>
                <w:bCs/>
                <w:color w:val="000000"/>
                <w:kern w:val="0"/>
                <w:sz w:val="24"/>
              </w:rPr>
            </w:pPr>
            <w:r>
              <w:rPr>
                <w:rFonts w:ascii="Times New Roman" w:hAnsi="Times New Roman"/>
                <w:b/>
                <w:bCs/>
                <w:color w:val="000000"/>
                <w:kern w:val="0"/>
                <w:sz w:val="24"/>
              </w:rPr>
              <w:t>序号</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bCs/>
                <w:color w:val="000000"/>
                <w:kern w:val="0"/>
                <w:sz w:val="24"/>
              </w:rPr>
            </w:pPr>
            <w:r>
              <w:rPr>
                <w:rFonts w:ascii="Times New Roman" w:hAnsi="Times New Roman"/>
                <w:b/>
                <w:bCs/>
                <w:color w:val="000000"/>
                <w:kern w:val="0"/>
                <w:sz w:val="24"/>
              </w:rPr>
              <w:t>申报单位名称</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bCs/>
                <w:color w:val="000000"/>
                <w:kern w:val="0"/>
                <w:sz w:val="24"/>
              </w:rPr>
            </w:pPr>
            <w:r>
              <w:rPr>
                <w:rFonts w:ascii="Times New Roman" w:hAnsi="Times New Roman"/>
                <w:b/>
                <w:bCs/>
                <w:color w:val="000000"/>
                <w:kern w:val="0"/>
                <w:sz w:val="24"/>
              </w:rPr>
              <w:t>项目名称</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bCs/>
                <w:color w:val="000000"/>
                <w:kern w:val="0"/>
                <w:sz w:val="24"/>
              </w:rPr>
            </w:pPr>
            <w:r>
              <w:rPr>
                <w:rFonts w:ascii="Times New Roman" w:hAnsi="Times New Roman"/>
                <w:b/>
                <w:bCs/>
                <w:color w:val="000000"/>
                <w:kern w:val="0"/>
                <w:sz w:val="24"/>
              </w:rPr>
              <w:t>项目负责人</w:t>
            </w:r>
          </w:p>
        </w:tc>
      </w:tr>
      <w:tr>
        <w:tblPrEx>
          <w:tblLayout w:type="fixed"/>
          <w:tblCellMar>
            <w:top w:w="0" w:type="dxa"/>
            <w:left w:w="108" w:type="dxa"/>
            <w:bottom w:w="0" w:type="dxa"/>
            <w:right w:w="108" w:type="dxa"/>
          </w:tblCellMar>
        </w:tblPrEx>
        <w:trPr>
          <w:trHeight w:val="424"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162</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清远职业技术学院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富铁酵母粉剂的生产与营销</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陈庆彬</w:t>
            </w:r>
          </w:p>
        </w:tc>
      </w:tr>
      <w:tr>
        <w:tblPrEx>
          <w:tblLayout w:type="fixed"/>
          <w:tblCellMar>
            <w:top w:w="0" w:type="dxa"/>
            <w:left w:w="108" w:type="dxa"/>
            <w:bottom w:w="0" w:type="dxa"/>
            <w:right w:w="108" w:type="dxa"/>
          </w:tblCellMar>
        </w:tblPrEx>
        <w:trPr>
          <w:trHeight w:val="424"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163</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广州工程技术职业学院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计算机服务公司</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曾宇明</w:t>
            </w:r>
          </w:p>
        </w:tc>
      </w:tr>
      <w:tr>
        <w:tblPrEx>
          <w:tblLayout w:type="fixed"/>
          <w:tblCellMar>
            <w:top w:w="0" w:type="dxa"/>
            <w:left w:w="108" w:type="dxa"/>
            <w:bottom w:w="0" w:type="dxa"/>
            <w:right w:w="108" w:type="dxa"/>
          </w:tblCellMar>
        </w:tblPrEx>
        <w:trPr>
          <w:trHeight w:val="424"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164</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广州工程技术职业学院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大学生餐饮服务公司</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刘婷婷</w:t>
            </w:r>
          </w:p>
        </w:tc>
      </w:tr>
      <w:tr>
        <w:tblPrEx>
          <w:tblLayout w:type="fixed"/>
          <w:tblCellMar>
            <w:top w:w="0" w:type="dxa"/>
            <w:left w:w="108" w:type="dxa"/>
            <w:bottom w:w="0" w:type="dxa"/>
            <w:right w:w="108" w:type="dxa"/>
          </w:tblCellMar>
        </w:tblPrEx>
        <w:trPr>
          <w:trHeight w:val="424"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165</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广州工程技术职业学院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大学生心理素质测评服务公司构建</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袁辉明</w:t>
            </w:r>
          </w:p>
        </w:tc>
      </w:tr>
      <w:tr>
        <w:tblPrEx>
          <w:tblLayout w:type="fixed"/>
          <w:tblCellMar>
            <w:top w:w="0" w:type="dxa"/>
            <w:left w:w="108" w:type="dxa"/>
            <w:bottom w:w="0" w:type="dxa"/>
            <w:right w:w="108" w:type="dxa"/>
          </w:tblCellMar>
        </w:tblPrEx>
        <w:trPr>
          <w:trHeight w:val="424"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166</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中山火炬职业技术学院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Just for you专属护肤化妆品工作室</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黄和森</w:t>
            </w:r>
          </w:p>
        </w:tc>
      </w:tr>
      <w:tr>
        <w:tblPrEx>
          <w:tblLayout w:type="fixed"/>
          <w:tblCellMar>
            <w:top w:w="0" w:type="dxa"/>
            <w:left w:w="108" w:type="dxa"/>
            <w:bottom w:w="0" w:type="dxa"/>
            <w:right w:w="108" w:type="dxa"/>
          </w:tblCellMar>
        </w:tblPrEx>
        <w:trPr>
          <w:trHeight w:val="424"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167</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中山火炬职业技术学院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茶皂素的提取工艺及生产应用研究</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郑君儿</w:t>
            </w:r>
          </w:p>
        </w:tc>
      </w:tr>
      <w:tr>
        <w:tblPrEx>
          <w:tblLayout w:type="fixed"/>
          <w:tblCellMar>
            <w:top w:w="0" w:type="dxa"/>
            <w:left w:w="108" w:type="dxa"/>
            <w:bottom w:w="0" w:type="dxa"/>
            <w:right w:w="108" w:type="dxa"/>
          </w:tblCellMar>
        </w:tblPrEx>
        <w:trPr>
          <w:trHeight w:val="837"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168</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广州工商学院（原广州工商职业技术学院）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小微企业金融服务创新体制机制设计创业训练项目</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欧志豪</w:t>
            </w:r>
          </w:p>
        </w:tc>
      </w:tr>
      <w:tr>
        <w:tblPrEx>
          <w:tblLayout w:type="fixed"/>
          <w:tblCellMar>
            <w:top w:w="0" w:type="dxa"/>
            <w:left w:w="108" w:type="dxa"/>
            <w:bottom w:w="0" w:type="dxa"/>
            <w:right w:w="108" w:type="dxa"/>
          </w:tblCellMar>
        </w:tblPrEx>
        <w:trPr>
          <w:trHeight w:val="837"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169</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广州工商学院（原广州工商职业技术学院）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箱包设计创新工作室</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刘鹏伟</w:t>
            </w:r>
          </w:p>
        </w:tc>
      </w:tr>
      <w:tr>
        <w:tblPrEx>
          <w:tblLayout w:type="fixed"/>
          <w:tblCellMar>
            <w:top w:w="0" w:type="dxa"/>
            <w:left w:w="108" w:type="dxa"/>
            <w:bottom w:w="0" w:type="dxa"/>
            <w:right w:w="108" w:type="dxa"/>
          </w:tblCellMar>
        </w:tblPrEx>
        <w:trPr>
          <w:trHeight w:val="837"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kern w:val="0"/>
                <w:sz w:val="24"/>
              </w:rPr>
            </w:pPr>
            <w:r>
              <w:rPr>
                <w:rFonts w:ascii="Times New Roman" w:hAnsi="Times New Roman"/>
                <w:kern w:val="0"/>
                <w:sz w:val="24"/>
              </w:rPr>
              <w:t>170</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kern w:val="0"/>
                <w:sz w:val="24"/>
              </w:rPr>
            </w:pPr>
            <w:r>
              <w:rPr>
                <w:rFonts w:ascii="Times New Roman" w:hAnsi="Times New Roman"/>
                <w:kern w:val="0"/>
                <w:sz w:val="24"/>
              </w:rPr>
              <w:t>广州工商学院（原广州工商职业技术学院）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kern w:val="0"/>
                <w:sz w:val="24"/>
              </w:rPr>
            </w:pPr>
            <w:r>
              <w:rPr>
                <w:rFonts w:ascii="Times New Roman" w:hAnsi="Times New Roman"/>
                <w:kern w:val="0"/>
                <w:sz w:val="24"/>
              </w:rPr>
              <w:t>“健康随行”咨询公司</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kern w:val="0"/>
                <w:sz w:val="24"/>
              </w:rPr>
            </w:pPr>
            <w:r>
              <w:rPr>
                <w:rFonts w:ascii="Times New Roman" w:hAnsi="Times New Roman"/>
                <w:kern w:val="0"/>
                <w:sz w:val="24"/>
              </w:rPr>
              <w:t>林  婉</w:t>
            </w:r>
          </w:p>
        </w:tc>
      </w:tr>
      <w:tr>
        <w:tblPrEx>
          <w:tblLayout w:type="fixed"/>
          <w:tblCellMar>
            <w:top w:w="0" w:type="dxa"/>
            <w:left w:w="108" w:type="dxa"/>
            <w:bottom w:w="0" w:type="dxa"/>
            <w:right w:w="108" w:type="dxa"/>
          </w:tblCellMar>
        </w:tblPrEx>
        <w:trPr>
          <w:trHeight w:val="837"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171</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广州科技职业技术学院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阿里巴巴全球速卖通网店---CABEL CONN数据线正品店</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叶天赐</w:t>
            </w:r>
          </w:p>
        </w:tc>
      </w:tr>
      <w:tr>
        <w:tblPrEx>
          <w:tblLayout w:type="fixed"/>
          <w:tblCellMar>
            <w:top w:w="0" w:type="dxa"/>
            <w:left w:w="108" w:type="dxa"/>
            <w:bottom w:w="0" w:type="dxa"/>
            <w:right w:w="108" w:type="dxa"/>
          </w:tblCellMar>
        </w:tblPrEx>
        <w:trPr>
          <w:trHeight w:val="478"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b/>
                <w:color w:val="FF0000"/>
                <w:kern w:val="0"/>
                <w:sz w:val="24"/>
              </w:rPr>
            </w:pPr>
            <w:r>
              <w:rPr>
                <w:rFonts w:ascii="Times New Roman" w:hAnsi="Times New Roman"/>
                <w:b/>
                <w:color w:val="FF0000"/>
                <w:kern w:val="0"/>
                <w:sz w:val="24"/>
              </w:rPr>
              <w:t>172</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color w:val="FF0000"/>
                <w:kern w:val="0"/>
                <w:sz w:val="24"/>
              </w:rPr>
            </w:pPr>
            <w:r>
              <w:rPr>
                <w:rFonts w:ascii="Times New Roman" w:hAnsi="Times New Roman"/>
                <w:b/>
                <w:color w:val="FF0000"/>
                <w:kern w:val="0"/>
                <w:sz w:val="24"/>
              </w:rPr>
              <w:t>广州科技职业技术学院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color w:val="FF0000"/>
                <w:kern w:val="0"/>
                <w:sz w:val="24"/>
              </w:rPr>
            </w:pPr>
            <w:r>
              <w:rPr>
                <w:rFonts w:ascii="Times New Roman" w:hAnsi="Times New Roman"/>
                <w:b/>
                <w:color w:val="FF0000"/>
                <w:kern w:val="0"/>
                <w:sz w:val="24"/>
              </w:rPr>
              <w:t>广科机械加工厂</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color w:val="FF0000"/>
                <w:kern w:val="0"/>
                <w:sz w:val="24"/>
              </w:rPr>
            </w:pPr>
            <w:r>
              <w:rPr>
                <w:rFonts w:ascii="Times New Roman" w:hAnsi="Times New Roman"/>
                <w:b/>
                <w:color w:val="FF0000"/>
                <w:kern w:val="0"/>
                <w:sz w:val="24"/>
              </w:rPr>
              <w:t>陈宏鑫</w:t>
            </w:r>
          </w:p>
        </w:tc>
      </w:tr>
      <w:tr>
        <w:tblPrEx>
          <w:tblLayout w:type="fixed"/>
          <w:tblCellMar>
            <w:top w:w="0" w:type="dxa"/>
            <w:left w:w="108" w:type="dxa"/>
            <w:bottom w:w="0" w:type="dxa"/>
            <w:right w:w="108" w:type="dxa"/>
          </w:tblCellMar>
        </w:tblPrEx>
        <w:trPr>
          <w:trHeight w:val="444"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173</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广州科技职业技术学院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大学生私人订制</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张炯彬</w:t>
            </w:r>
          </w:p>
        </w:tc>
      </w:tr>
      <w:tr>
        <w:tblPrEx>
          <w:tblLayout w:type="fixed"/>
          <w:tblCellMar>
            <w:top w:w="0" w:type="dxa"/>
            <w:left w:w="108" w:type="dxa"/>
            <w:bottom w:w="0" w:type="dxa"/>
            <w:right w:w="108" w:type="dxa"/>
          </w:tblCellMar>
        </w:tblPrEx>
        <w:trPr>
          <w:trHeight w:val="536"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174</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广州科技职业技术学院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大学园快递资源优化整合</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b w:val="0"/>
                <w:bCs/>
                <w:color w:val="auto"/>
                <w:kern w:val="0"/>
                <w:sz w:val="24"/>
              </w:rPr>
            </w:pPr>
            <w:r>
              <w:rPr>
                <w:rFonts w:ascii="Times New Roman" w:hAnsi="Times New Roman"/>
                <w:b w:val="0"/>
                <w:bCs/>
                <w:color w:val="auto"/>
                <w:kern w:val="0"/>
                <w:sz w:val="24"/>
              </w:rPr>
              <w:t>杨淳</w:t>
            </w:r>
          </w:p>
        </w:tc>
      </w:tr>
      <w:tr>
        <w:tblPrEx>
          <w:tblLayout w:type="fixed"/>
          <w:tblCellMar>
            <w:top w:w="0" w:type="dxa"/>
            <w:left w:w="108" w:type="dxa"/>
            <w:bottom w:w="0" w:type="dxa"/>
            <w:right w:w="108" w:type="dxa"/>
          </w:tblCellMar>
        </w:tblPrEx>
        <w:trPr>
          <w:trHeight w:val="837"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175</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广东理工学院（原肇庆科技职业技术学院）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基于Cocos2d-android引擎的手机游戏设计与开发</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曾焜锐</w:t>
            </w:r>
          </w:p>
        </w:tc>
      </w:tr>
      <w:tr>
        <w:tblPrEx>
          <w:tblLayout w:type="fixed"/>
          <w:tblCellMar>
            <w:top w:w="0" w:type="dxa"/>
            <w:left w:w="108" w:type="dxa"/>
            <w:bottom w:w="0" w:type="dxa"/>
            <w:right w:w="108" w:type="dxa"/>
          </w:tblCellMar>
        </w:tblPrEx>
        <w:trPr>
          <w:trHeight w:val="837"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176</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广东理工学院（原肇庆科技职业技术学院）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基于图像分析的颗粒分析仪的研制</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黄子杰</w:t>
            </w:r>
          </w:p>
        </w:tc>
      </w:tr>
      <w:tr>
        <w:tblPrEx>
          <w:tblLayout w:type="fixed"/>
          <w:tblCellMar>
            <w:top w:w="0" w:type="dxa"/>
            <w:left w:w="108" w:type="dxa"/>
            <w:bottom w:w="0" w:type="dxa"/>
            <w:right w:w="108" w:type="dxa"/>
          </w:tblCellMar>
        </w:tblPrEx>
        <w:trPr>
          <w:trHeight w:val="847" w:hRule="atLeast"/>
          <w:jc w:val="center"/>
        </w:trPr>
        <w:tc>
          <w:tcPr>
            <w:tcW w:w="793" w:type="dxa"/>
            <w:tcBorders>
              <w:top w:val="nil"/>
              <w:left w:val="single" w:color="auto" w:sz="4" w:space="0"/>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177</w:t>
            </w:r>
          </w:p>
        </w:tc>
        <w:tc>
          <w:tcPr>
            <w:tcW w:w="2792"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广东理工学院（原肇庆科技职业技术学院）</w:t>
            </w:r>
          </w:p>
        </w:tc>
        <w:tc>
          <w:tcPr>
            <w:tcW w:w="5046"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“有机美丽”知行军团</w:t>
            </w:r>
          </w:p>
        </w:tc>
        <w:tc>
          <w:tcPr>
            <w:tcW w:w="11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color w:val="000000"/>
                <w:kern w:val="0"/>
                <w:sz w:val="24"/>
              </w:rPr>
            </w:pPr>
            <w:r>
              <w:rPr>
                <w:rFonts w:ascii="Times New Roman" w:hAnsi="Times New Roman"/>
                <w:color w:val="000000"/>
                <w:kern w:val="0"/>
                <w:sz w:val="24"/>
              </w:rPr>
              <w:t>朱金道</w:t>
            </w:r>
          </w:p>
        </w:tc>
      </w:tr>
    </w:tbl>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eastAsia="zh-CN"/>
        </w:rPr>
      </w:pPr>
      <w:bookmarkStart w:id="2" w:name="_Toc12649"/>
      <w:r>
        <w:rPr>
          <w:rFonts w:hint="eastAsia" w:ascii="宋体" w:hAnsi="宋体" w:eastAsia="宋体" w:cs="宋体"/>
          <w:sz w:val="21"/>
          <w:szCs w:val="21"/>
          <w:lang w:val="en-US" w:eastAsia="zh-CN"/>
        </w:rPr>
        <w:t>(2)</w:t>
      </w:r>
      <w:r>
        <w:rPr>
          <w:rFonts w:hint="eastAsia" w:ascii="宋体" w:hAnsi="宋体" w:eastAsia="宋体" w:cs="宋体"/>
          <w:sz w:val="21"/>
          <w:szCs w:val="21"/>
        </w:rPr>
        <w:t>大学生创新创业训练计划项目</w:t>
      </w:r>
      <w:r>
        <w:rPr>
          <w:rFonts w:hint="eastAsia" w:ascii="宋体" w:hAnsi="宋体" w:eastAsia="宋体" w:cs="宋体"/>
          <w:sz w:val="21"/>
          <w:szCs w:val="21"/>
          <w:lang w:eastAsia="zh-CN"/>
        </w:rPr>
        <w:t>：铜管折弯扩孔机技改</w:t>
      </w:r>
      <w:bookmarkEnd w:id="2"/>
    </w:p>
    <w:p>
      <w:pPr>
        <w:jc w:val="center"/>
        <w:rPr>
          <w:rFonts w:hint="eastAsia" w:ascii="宋体" w:hAnsi="宋体"/>
          <w:sz w:val="15"/>
          <w:szCs w:val="15"/>
          <w:lang w:val="en-US" w:eastAsia="zh-CN"/>
        </w:rPr>
      </w:pPr>
      <w:r>
        <w:rPr>
          <w:rFonts w:hint="eastAsia"/>
          <w:lang w:val="en-US" w:eastAsia="zh-CN"/>
        </w:rPr>
        <w:drawing>
          <wp:inline distT="0" distB="0" distL="114300" distR="114300">
            <wp:extent cx="5274310" cy="7316470"/>
            <wp:effectExtent l="0" t="0" r="2540" b="17780"/>
            <wp:docPr id="59" name="图片 1" descr="李主任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李主任 001"/>
                    <pic:cNvPicPr>
                      <a:picLocks noChangeAspect="1"/>
                    </pic:cNvPicPr>
                  </pic:nvPicPr>
                  <pic:blipFill>
                    <a:blip r:embed="rId7"/>
                    <a:stretch>
                      <a:fillRect/>
                    </a:stretch>
                  </pic:blipFill>
                  <pic:spPr>
                    <a:xfrm>
                      <a:off x="0" y="0"/>
                      <a:ext cx="5274310" cy="7316470"/>
                    </a:xfrm>
                    <a:prstGeom prst="rect">
                      <a:avLst/>
                    </a:prstGeom>
                    <a:noFill/>
                    <a:ln>
                      <a:noFill/>
                    </a:ln>
                  </pic:spPr>
                </pic:pic>
              </a:graphicData>
            </a:graphic>
          </wp:inline>
        </w:drawing>
      </w: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eastAsia="zh-CN"/>
        </w:rPr>
      </w:pPr>
      <w:bookmarkStart w:id="3" w:name="_Toc14424"/>
      <w:r>
        <w:rPr>
          <w:rFonts w:hint="eastAsia" w:ascii="宋体" w:hAnsi="宋体" w:eastAsia="宋体" w:cs="宋体"/>
          <w:sz w:val="21"/>
          <w:szCs w:val="21"/>
        </w:rPr>
        <w:t>大学生创新创业训练计划项目</w:t>
      </w:r>
      <w:r>
        <w:rPr>
          <w:rFonts w:hint="eastAsia" w:ascii="宋体" w:hAnsi="宋体" w:eastAsia="宋体" w:cs="宋体"/>
          <w:sz w:val="21"/>
          <w:szCs w:val="21"/>
          <w:lang w:eastAsia="zh-CN"/>
        </w:rPr>
        <w:t>：油画3D打印机</w:t>
      </w:r>
      <w:bookmarkEnd w:id="3"/>
    </w:p>
    <w:p>
      <w:pPr>
        <w:widowControl w:val="0"/>
        <w:numPr>
          <w:ilvl w:val="0"/>
          <w:numId w:val="0"/>
        </w:numPr>
        <w:jc w:val="center"/>
        <w:rPr>
          <w:rFonts w:hint="eastAsia" w:ascii="宋体" w:hAnsi="宋体"/>
          <w:sz w:val="15"/>
          <w:szCs w:val="15"/>
          <w:lang w:eastAsia="zh-CN"/>
        </w:rPr>
      </w:pPr>
      <w:r>
        <w:rPr>
          <w:rFonts w:hint="eastAsia" w:eastAsia="宋体"/>
          <w:lang w:eastAsia="zh-CN"/>
        </w:rPr>
        <w:drawing>
          <wp:inline distT="0" distB="0" distL="114300" distR="114300">
            <wp:extent cx="5273040" cy="7030720"/>
            <wp:effectExtent l="0" t="0" r="3810" b="17780"/>
            <wp:docPr id="60" name="图片 2" descr="梁英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梁英杰"/>
                    <pic:cNvPicPr>
                      <a:picLocks noChangeAspect="1"/>
                    </pic:cNvPicPr>
                  </pic:nvPicPr>
                  <pic:blipFill>
                    <a:blip r:embed="rId8"/>
                    <a:stretch>
                      <a:fillRect/>
                    </a:stretch>
                  </pic:blipFill>
                  <pic:spPr>
                    <a:xfrm>
                      <a:off x="0" y="0"/>
                      <a:ext cx="5273040" cy="7030720"/>
                    </a:xfrm>
                    <a:prstGeom prst="rect">
                      <a:avLst/>
                    </a:prstGeom>
                    <a:noFill/>
                    <a:ln>
                      <a:noFill/>
                    </a:ln>
                  </pic:spPr>
                </pic:pic>
              </a:graphicData>
            </a:graphic>
          </wp:inline>
        </w:drawing>
      </w:r>
    </w:p>
    <w:p>
      <w:pPr>
        <w:widowControl w:val="0"/>
        <w:numPr>
          <w:ilvl w:val="0"/>
          <w:numId w:val="0"/>
        </w:numPr>
        <w:jc w:val="both"/>
        <w:rPr>
          <w:rFonts w:hint="eastAsia" w:ascii="宋体" w:hAnsi="宋体"/>
          <w:sz w:val="15"/>
          <w:szCs w:val="15"/>
          <w:lang w:eastAsia="zh-CN"/>
        </w:rPr>
      </w:pPr>
    </w:p>
    <w:p>
      <w:pPr>
        <w:widowControl w:val="0"/>
        <w:numPr>
          <w:ilvl w:val="0"/>
          <w:numId w:val="0"/>
        </w:numPr>
        <w:jc w:val="both"/>
        <w:rPr>
          <w:rFonts w:hint="eastAsia" w:ascii="宋体" w:hAnsi="宋体"/>
          <w:sz w:val="15"/>
          <w:szCs w:val="15"/>
          <w:lang w:eastAsia="zh-CN"/>
        </w:rPr>
      </w:pPr>
    </w:p>
    <w:p>
      <w:pPr>
        <w:widowControl w:val="0"/>
        <w:numPr>
          <w:ilvl w:val="0"/>
          <w:numId w:val="0"/>
        </w:numPr>
        <w:jc w:val="both"/>
        <w:rPr>
          <w:rFonts w:hint="eastAsia" w:ascii="宋体" w:hAnsi="宋体"/>
          <w:sz w:val="15"/>
          <w:szCs w:val="15"/>
          <w:lang w:eastAsia="zh-CN"/>
        </w:rPr>
      </w:pPr>
    </w:p>
    <w:p>
      <w:pPr>
        <w:widowControl w:val="0"/>
        <w:numPr>
          <w:ilvl w:val="0"/>
          <w:numId w:val="0"/>
        </w:numPr>
        <w:jc w:val="both"/>
        <w:rPr>
          <w:rFonts w:hint="eastAsia" w:ascii="宋体" w:hAnsi="宋体"/>
          <w:sz w:val="15"/>
          <w:szCs w:val="15"/>
          <w:lang w:eastAsia="zh-CN"/>
        </w:rPr>
      </w:pPr>
    </w:p>
    <w:p>
      <w:pPr>
        <w:rPr>
          <w:rFonts w:hint="eastAsia" w:ascii="宋体" w:hAnsi="宋体"/>
          <w:sz w:val="15"/>
          <w:szCs w:val="15"/>
          <w:lang w:eastAsia="zh-CN"/>
        </w:rPr>
      </w:pPr>
      <w:r>
        <w:rPr>
          <w:rFonts w:hint="eastAsia" w:ascii="宋体" w:hAnsi="宋体"/>
          <w:sz w:val="15"/>
          <w:szCs w:val="15"/>
          <w:lang w:eastAsia="zh-CN"/>
        </w:rPr>
        <w:drawing>
          <wp:inline distT="0" distB="0" distL="114300" distR="114300">
            <wp:extent cx="6118225" cy="2677160"/>
            <wp:effectExtent l="0" t="0" r="15875" b="8890"/>
            <wp:docPr id="4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
                    <pic:cNvPicPr>
                      <a:picLocks noChangeAspect="1"/>
                    </pic:cNvPicPr>
                  </pic:nvPicPr>
                  <pic:blipFill>
                    <a:blip r:embed="rId9"/>
                    <a:stretch>
                      <a:fillRect/>
                    </a:stretch>
                  </pic:blipFill>
                  <pic:spPr>
                    <a:xfrm>
                      <a:off x="0" y="0"/>
                      <a:ext cx="6118225" cy="2677160"/>
                    </a:xfrm>
                    <a:prstGeom prst="rect">
                      <a:avLst/>
                    </a:prstGeom>
                  </pic:spPr>
                </pic:pic>
              </a:graphicData>
            </a:graphic>
          </wp:inline>
        </w:drawing>
      </w:r>
    </w:p>
    <w:p>
      <w:pPr>
        <w:rPr>
          <w:rFonts w:hint="eastAsia" w:ascii="宋体" w:hAnsi="宋体"/>
          <w:sz w:val="15"/>
          <w:szCs w:val="15"/>
          <w:lang w:eastAsia="zh-CN"/>
        </w:rPr>
      </w:pPr>
      <w:r>
        <w:rPr>
          <w:rFonts w:hint="eastAsia" w:ascii="宋体" w:hAnsi="宋体"/>
          <w:sz w:val="15"/>
          <w:szCs w:val="15"/>
          <w:lang w:eastAsia="zh-CN"/>
        </w:rPr>
        <w:drawing>
          <wp:inline distT="0" distB="0" distL="114300" distR="114300">
            <wp:extent cx="6114415" cy="3210560"/>
            <wp:effectExtent l="0" t="0" r="635" b="8890"/>
            <wp:docPr id="56" name="图片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
                    <pic:cNvPicPr>
                      <a:picLocks noChangeAspect="1"/>
                    </pic:cNvPicPr>
                  </pic:nvPicPr>
                  <pic:blipFill>
                    <a:blip r:embed="rId10"/>
                    <a:stretch>
                      <a:fillRect/>
                    </a:stretch>
                  </pic:blipFill>
                  <pic:spPr>
                    <a:xfrm>
                      <a:off x="0" y="0"/>
                      <a:ext cx="6114415" cy="3210560"/>
                    </a:xfrm>
                    <a:prstGeom prst="rect">
                      <a:avLst/>
                    </a:prstGeom>
                  </pic:spPr>
                </pic:pic>
              </a:graphicData>
            </a:graphic>
          </wp:inline>
        </w:drawing>
      </w: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rPr>
          <w:rFonts w:hint="eastAsia" w:ascii="宋体" w:hAnsi="宋体"/>
          <w:sz w:val="15"/>
          <w:szCs w:val="15"/>
          <w:lang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rPr>
      </w:pPr>
      <w:bookmarkStart w:id="4" w:name="_Toc11172"/>
      <w:r>
        <w:rPr>
          <w:rFonts w:hint="eastAsia" w:ascii="宋体" w:hAnsi="宋体" w:eastAsia="宋体" w:cs="宋体"/>
          <w:sz w:val="21"/>
          <w:szCs w:val="21"/>
          <w:lang w:val="en-US" w:eastAsia="zh-CN"/>
        </w:rPr>
        <w:t>(4)</w:t>
      </w:r>
      <w:r>
        <w:rPr>
          <w:rFonts w:hint="eastAsia" w:ascii="宋体" w:hAnsi="宋体" w:eastAsia="宋体" w:cs="宋体"/>
          <w:sz w:val="21"/>
          <w:szCs w:val="21"/>
        </w:rPr>
        <w:t>2016年度广东省“攀登计划”大学生科技创新培育专项资金项目：半空心铝型材挤压模的结构研究</w:t>
      </w:r>
      <w:bookmarkEnd w:id="4"/>
    </w:p>
    <w:p>
      <w:pPr>
        <w:jc w:val="center"/>
        <w:rPr>
          <w:rFonts w:hint="eastAsia" w:ascii="宋体" w:hAnsi="宋体"/>
          <w:sz w:val="15"/>
          <w:szCs w:val="15"/>
        </w:rPr>
      </w:pPr>
      <w:r>
        <w:rPr>
          <w:rFonts w:hint="eastAsia" w:ascii="宋体"/>
          <w:kern w:val="0"/>
          <w:sz w:val="20"/>
          <w:lang w:eastAsia="zh-CN"/>
        </w:rPr>
        <w:drawing>
          <wp:inline distT="0" distB="0" distL="114300" distR="114300">
            <wp:extent cx="5118100" cy="3757930"/>
            <wp:effectExtent l="0" t="0" r="6350" b="13970"/>
            <wp:docPr id="48" name="图片 48" descr="2016pdjhb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16pdjhb0863"/>
                    <pic:cNvPicPr>
                      <a:picLocks noChangeAspect="1"/>
                    </pic:cNvPicPr>
                  </pic:nvPicPr>
                  <pic:blipFill>
                    <a:blip r:embed="rId11"/>
                    <a:srcRect l="16216" b="13009"/>
                    <a:stretch>
                      <a:fillRect/>
                    </a:stretch>
                  </pic:blipFill>
                  <pic:spPr>
                    <a:xfrm>
                      <a:off x="0" y="0"/>
                      <a:ext cx="5118100" cy="3757930"/>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rPr>
      </w:pPr>
      <w:bookmarkStart w:id="5" w:name="_Toc13865"/>
      <w:r>
        <w:rPr>
          <w:rFonts w:hint="eastAsia" w:ascii="宋体" w:hAnsi="宋体" w:eastAsia="宋体" w:cs="宋体"/>
          <w:sz w:val="21"/>
          <w:szCs w:val="21"/>
          <w:lang w:val="en-US" w:eastAsia="zh-CN"/>
        </w:rPr>
        <w:t>(5)</w:t>
      </w:r>
      <w:r>
        <w:rPr>
          <w:rFonts w:hint="eastAsia" w:ascii="宋体" w:hAnsi="宋体" w:eastAsia="宋体" w:cs="宋体"/>
          <w:sz w:val="21"/>
          <w:szCs w:val="21"/>
        </w:rPr>
        <w:t>2016年度广东省“攀登计划”大学生科技创新培育专项资金项目：一模多孔铝型材挤压模的设计与制造研究</w:t>
      </w:r>
      <w:bookmarkEnd w:id="5"/>
    </w:p>
    <w:p>
      <w:pPr>
        <w:jc w:val="center"/>
        <w:rPr>
          <w:rFonts w:hint="eastAsia" w:ascii="宋体" w:hAnsi="宋体"/>
          <w:sz w:val="15"/>
          <w:szCs w:val="15"/>
        </w:rPr>
      </w:pPr>
      <w:r>
        <w:rPr>
          <w:rFonts w:hint="eastAsia"/>
          <w:lang w:val="en-US" w:eastAsia="zh-CN"/>
        </w:rPr>
        <w:drawing>
          <wp:inline distT="0" distB="0" distL="114300" distR="114300">
            <wp:extent cx="5080000" cy="2894965"/>
            <wp:effectExtent l="0" t="0" r="6350" b="635"/>
            <wp:docPr id="49" name="图片 49" descr="2016pdjhb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16pdjhb0865"/>
                    <pic:cNvPicPr>
                      <a:picLocks noChangeAspect="1"/>
                    </pic:cNvPicPr>
                  </pic:nvPicPr>
                  <pic:blipFill>
                    <a:blip r:embed="rId12"/>
                    <a:srcRect l="16840" b="16096"/>
                    <a:stretch>
                      <a:fillRect/>
                    </a:stretch>
                  </pic:blipFill>
                  <pic:spPr>
                    <a:xfrm>
                      <a:off x="0" y="0"/>
                      <a:ext cx="5080000" cy="2894965"/>
                    </a:xfrm>
                    <a:prstGeom prst="rect">
                      <a:avLst/>
                    </a:prstGeom>
                  </pic:spPr>
                </pic:pic>
              </a:graphicData>
            </a:graphic>
          </wp:inline>
        </w:drawing>
      </w: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rPr>
      </w:pPr>
      <w:bookmarkStart w:id="6" w:name="_Toc13133"/>
      <w:r>
        <w:rPr>
          <w:rFonts w:hint="eastAsia" w:ascii="宋体" w:hAnsi="宋体" w:eastAsia="宋体" w:cs="宋体"/>
          <w:sz w:val="21"/>
          <w:szCs w:val="21"/>
          <w:lang w:val="en-US" w:eastAsia="zh-CN"/>
        </w:rPr>
        <w:t>(6)</w:t>
      </w:r>
      <w:r>
        <w:rPr>
          <w:rFonts w:hint="eastAsia" w:ascii="宋体" w:hAnsi="宋体" w:eastAsia="宋体" w:cs="宋体"/>
          <w:sz w:val="21"/>
          <w:szCs w:val="21"/>
        </w:rPr>
        <w:t>2017年度广东省“攀登计划”大学生科技创新培育专项资金项目：半空心铝型材一模双孔挤压模结构</w:t>
      </w:r>
      <w:bookmarkEnd w:id="6"/>
    </w:p>
    <w:p>
      <w:pPr>
        <w:jc w:val="center"/>
        <w:rPr>
          <w:rFonts w:hint="eastAsia" w:ascii="宋体" w:hAnsi="宋体"/>
          <w:sz w:val="15"/>
          <w:szCs w:val="15"/>
        </w:rPr>
      </w:pPr>
      <w:r>
        <w:rPr>
          <w:rFonts w:hint="eastAsia" w:ascii="宋体"/>
          <w:kern w:val="0"/>
          <w:sz w:val="20"/>
          <w:lang w:val="en-US" w:eastAsia="zh-CN"/>
        </w:rPr>
        <w:drawing>
          <wp:inline distT="0" distB="0" distL="114300" distR="114300">
            <wp:extent cx="3611880" cy="5191760"/>
            <wp:effectExtent l="0" t="0" r="8890" b="7620"/>
            <wp:docPr id="50" name="图片 50" descr="20190514183810622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190514183810622_页面_2"/>
                    <pic:cNvPicPr>
                      <a:picLocks noChangeAspect="1"/>
                    </pic:cNvPicPr>
                  </pic:nvPicPr>
                  <pic:blipFill>
                    <a:blip r:embed="rId13"/>
                    <a:srcRect l="16509" t="18941"/>
                    <a:stretch>
                      <a:fillRect/>
                    </a:stretch>
                  </pic:blipFill>
                  <pic:spPr>
                    <a:xfrm rot="16200000">
                      <a:off x="0" y="0"/>
                      <a:ext cx="3611880" cy="5191760"/>
                    </a:xfrm>
                    <a:prstGeom prst="rect">
                      <a:avLst/>
                    </a:prstGeom>
                  </pic:spPr>
                </pic:pic>
              </a:graphicData>
            </a:graphic>
          </wp:inline>
        </w:drawing>
      </w: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rPr>
      </w:pPr>
      <w:bookmarkStart w:id="7" w:name="_Toc18426"/>
      <w:r>
        <w:rPr>
          <w:rFonts w:hint="eastAsia" w:ascii="宋体" w:hAnsi="宋体" w:eastAsia="宋体" w:cs="宋体"/>
          <w:sz w:val="21"/>
          <w:szCs w:val="21"/>
          <w:lang w:val="en-US" w:eastAsia="zh-CN"/>
        </w:rPr>
        <w:t>(7)</w:t>
      </w:r>
      <w:r>
        <w:rPr>
          <w:rFonts w:hint="eastAsia" w:ascii="宋体" w:hAnsi="宋体" w:eastAsia="宋体" w:cs="宋体"/>
          <w:sz w:val="21"/>
          <w:szCs w:val="21"/>
        </w:rPr>
        <w:t>2017年度广东省“攀登计划”大学生科技创新培育专项资金项目：大断面方管铝型材挤压模的结构研究</w:t>
      </w:r>
      <w:bookmarkEnd w:id="7"/>
    </w:p>
    <w:p>
      <w:pPr>
        <w:jc w:val="center"/>
        <w:rPr>
          <w:rFonts w:hint="eastAsia" w:ascii="宋体" w:hAnsi="宋体"/>
          <w:sz w:val="15"/>
          <w:szCs w:val="15"/>
        </w:rPr>
      </w:pPr>
      <w:r>
        <w:rPr>
          <w:rFonts w:hint="eastAsia" w:ascii="宋体" w:hAnsi="宋体" w:eastAsia="宋体" w:cs="宋体"/>
          <w:sz w:val="21"/>
          <w:szCs w:val="21"/>
          <w:lang w:val="en-US" w:eastAsia="zh-CN"/>
        </w:rPr>
        <w:drawing>
          <wp:inline distT="0" distB="0" distL="114300" distR="114300">
            <wp:extent cx="3554095" cy="4916170"/>
            <wp:effectExtent l="0" t="0" r="17780" b="8255"/>
            <wp:docPr id="51" name="图片 51" descr="20190514183744382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0190514183744382_页面_2"/>
                    <pic:cNvPicPr>
                      <a:picLocks noChangeAspect="1"/>
                    </pic:cNvPicPr>
                  </pic:nvPicPr>
                  <pic:blipFill>
                    <a:blip r:embed="rId14"/>
                    <a:srcRect l="17599" t="16959"/>
                    <a:stretch>
                      <a:fillRect/>
                    </a:stretch>
                  </pic:blipFill>
                  <pic:spPr>
                    <a:xfrm rot="16200000">
                      <a:off x="0" y="0"/>
                      <a:ext cx="3554095" cy="4916170"/>
                    </a:xfrm>
                    <a:prstGeom prst="rect">
                      <a:avLst/>
                    </a:prstGeom>
                  </pic:spPr>
                </pic:pic>
              </a:graphicData>
            </a:graphic>
          </wp:inline>
        </w:drawing>
      </w:r>
    </w:p>
    <w:p>
      <w:pPr>
        <w:rPr>
          <w:rFonts w:hint="eastAsia" w:ascii="宋体" w:hAnsi="宋体"/>
          <w:sz w:val="15"/>
          <w:szCs w:val="15"/>
          <w:lang w:val="en-US" w:eastAsia="zh-CN"/>
        </w:rPr>
      </w:pPr>
    </w:p>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eastAsia="zh-CN"/>
        </w:rPr>
      </w:pPr>
      <w:bookmarkStart w:id="8" w:name="_Toc32540"/>
      <w:r>
        <w:rPr>
          <w:rFonts w:hint="eastAsia" w:ascii="宋体" w:hAnsi="宋体" w:eastAsia="宋体" w:cs="宋体"/>
          <w:sz w:val="21"/>
          <w:szCs w:val="21"/>
          <w:lang w:val="en-US" w:eastAsia="zh-CN"/>
        </w:rPr>
        <w:t>(8)</w:t>
      </w:r>
      <w:r>
        <w:rPr>
          <w:rFonts w:hint="eastAsia" w:ascii="宋体" w:hAnsi="宋体" w:eastAsia="宋体" w:cs="宋体"/>
          <w:sz w:val="21"/>
          <w:szCs w:val="21"/>
        </w:rPr>
        <w:t>2018年度广东省“攀登计划”大学生科技创新培育专项资金项目</w:t>
      </w:r>
      <w:r>
        <w:rPr>
          <w:rFonts w:hint="eastAsia" w:ascii="宋体" w:hAnsi="宋体" w:eastAsia="宋体" w:cs="宋体"/>
          <w:sz w:val="21"/>
          <w:szCs w:val="21"/>
          <w:lang w:eastAsia="zh-CN"/>
        </w:rPr>
        <w:t>：.铝合金推拉窗下横型材挤压模结构的改进</w:t>
      </w:r>
      <w:bookmarkEnd w:id="8"/>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val="en-US" w:eastAsia="zh-CN"/>
        </w:rPr>
      </w:pPr>
      <w:bookmarkStart w:id="9" w:name="_Toc28138"/>
      <w:r>
        <w:rPr>
          <w:rFonts w:hint="eastAsia" w:ascii="宋体" w:hAnsi="宋体" w:eastAsia="宋体" w:cs="宋体"/>
          <w:sz w:val="21"/>
          <w:szCs w:val="21"/>
          <w:lang w:val="en-US" w:eastAsia="zh-CN"/>
        </w:rPr>
        <w:t>(9)</w:t>
      </w:r>
      <w:r>
        <w:rPr>
          <w:rFonts w:hint="eastAsia" w:ascii="宋体" w:hAnsi="宋体" w:eastAsia="宋体" w:cs="宋体"/>
          <w:sz w:val="21"/>
          <w:szCs w:val="21"/>
        </w:rPr>
        <w:t>2018年度广东省“攀登计划”大学生科技创新培育专项资金项目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变频技术取代定额制冷系统控制的节能研究</w:t>
      </w:r>
      <w:bookmarkEnd w:id="9"/>
    </w:p>
    <w:p>
      <w:pPr>
        <w:spacing w:line="900" w:lineRule="exact"/>
        <w:jc w:val="distribute"/>
        <w:rPr>
          <w:rFonts w:ascii="华文中宋" w:hAnsi="华文中宋" w:eastAsia="华文中宋" w:cs="华文中宋"/>
          <w:b/>
          <w:bCs/>
          <w:color w:val="FF0000"/>
          <w:w w:val="105"/>
          <w:sz w:val="72"/>
          <w:szCs w:val="72"/>
        </w:rPr>
      </w:pPr>
      <w:r>
        <w:rPr>
          <w:rFonts w:hint="eastAsia" w:ascii="华文中宋" w:hAnsi="华文中宋" w:eastAsia="华文中宋" w:cs="华文中宋"/>
          <w:b/>
          <w:bCs/>
          <w:color w:val="FF0000"/>
          <w:w w:val="105"/>
          <w:sz w:val="72"/>
          <w:szCs w:val="72"/>
        </w:rPr>
        <w:t>共青团广东省委员会</w:t>
      </w:r>
    </w:p>
    <w:p>
      <w:pPr>
        <w:spacing w:after="156" w:afterLines="50" w:line="900" w:lineRule="exact"/>
        <w:jc w:val="distribute"/>
        <w:rPr>
          <w:rFonts w:ascii="华文中宋" w:hAnsi="华文中宋" w:eastAsia="华文中宋" w:cs="华文中宋"/>
          <w:b/>
          <w:bCs/>
          <w:color w:val="FF0000"/>
          <w:w w:val="105"/>
          <w:sz w:val="72"/>
          <w:szCs w:val="72"/>
        </w:rPr>
      </w:pPr>
      <w:r>
        <w:rPr>
          <w:rFonts w:hint="eastAsia" w:ascii="华文中宋" w:hAnsi="华文中宋" w:eastAsia="华文中宋" w:cs="华文中宋"/>
          <w:b/>
          <w:bCs/>
          <w:color w:val="FF0000"/>
          <w:w w:val="105"/>
          <w:sz w:val="72"/>
          <w:szCs w:val="72"/>
        </w:rPr>
        <w:t>广东省学生联合会</w:t>
      </w:r>
    </w:p>
    <w:p>
      <w:pPr>
        <w:spacing w:line="720" w:lineRule="exact"/>
        <w:rPr>
          <w:rFonts w:ascii="方正小标宋简体" w:hAnsi="方正小标宋简体" w:eastAsia="方正小标宋简体" w:cs="方正小标宋简体"/>
          <w:color w:val="000000"/>
          <w:sz w:val="44"/>
          <w:szCs w:val="44"/>
        </w:rPr>
      </w:pPr>
      <w:r>
        <w:rPr>
          <w:rFonts w:hint="eastAsia" w:ascii="方正仿宋_GBK" w:hAnsi="方正仿宋_GBK" w:eastAsia="方正仿宋_GBK" w:cs="方正仿宋_GBK"/>
          <w:color w:val="FF0000"/>
          <w:position w:val="-60"/>
          <w:sz w:val="32"/>
          <w:szCs w:val="32"/>
        </w:rPr>
        <mc:AlternateContent>
          <mc:Choice Requires="wps">
            <w:drawing>
              <wp:anchor distT="0" distB="0" distL="114300" distR="114300" simplePos="0" relativeHeight="251663360" behindDoc="0" locked="0" layoutInCell="1" allowOverlap="1">
                <wp:simplePos x="0" y="0"/>
                <wp:positionH relativeFrom="column">
                  <wp:posOffset>-122555</wp:posOffset>
                </wp:positionH>
                <wp:positionV relativeFrom="paragraph">
                  <wp:posOffset>74295</wp:posOffset>
                </wp:positionV>
                <wp:extent cx="5534025" cy="19050"/>
                <wp:effectExtent l="0" t="4445" r="9525" b="5080"/>
                <wp:wrapNone/>
                <wp:docPr id="54" name="AutoShape 2"/>
                <wp:cNvGraphicFramePr/>
                <a:graphic xmlns:a="http://schemas.openxmlformats.org/drawingml/2006/main">
                  <a:graphicData uri="http://schemas.microsoft.com/office/word/2010/wordprocessingShape">
                    <wps:wsp>
                      <wps:cNvCnPr/>
                      <wps:spPr>
                        <a:xfrm flipV="1">
                          <a:off x="0" y="0"/>
                          <a:ext cx="5534025" cy="19050"/>
                        </a:xfrm>
                        <a:prstGeom prst="straightConnector1">
                          <a:avLst/>
                        </a:prstGeom>
                        <a:ln w="9525" cap="flat" cmpd="sng">
                          <a:solidFill>
                            <a:srgbClr val="FF0000"/>
                          </a:solidFill>
                          <a:prstDash val="solid"/>
                          <a:headEnd type="none" w="med" len="med"/>
                          <a:tailEnd type="none" w="med" len="med"/>
                        </a:ln>
                      </wps:spPr>
                      <wps:bodyPr/>
                    </wps:wsp>
                  </a:graphicData>
                </a:graphic>
              </wp:anchor>
            </w:drawing>
          </mc:Choice>
          <mc:Fallback>
            <w:pict>
              <v:shape id="AutoShape 2" o:spid="_x0000_s1026" o:spt="32" type="#_x0000_t32" style="position:absolute;left:0pt;flip:y;margin-left:-9.65pt;margin-top:5.85pt;height:1.5pt;width:435.75pt;z-index:251663360;mso-width-relative:page;mso-height-relative:page;" filled="f" stroked="t" coordsize="21600,21600" o:gfxdata="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WgBtI2QAAAAkBAAAPAAAAAAAAAAEAIAAA&#10;ACIAAABkcnMvZG93bnJldi54bWxQSwECFAAUAAAACACHTuJACdQ3CNIBAAChAwAADgAAAAAAAAAB&#10;ACAAAAAoAQAAZHJzL2Uyb0RvYy54bWxQSwUGAAAAAAYABgBZAQAAbAUAAAAA&#10;">
                <v:fill on="f" focussize="0,0"/>
                <v:stroke color="#FF0000" joinstyle="round"/>
                <v:imagedata o:title=""/>
                <o:lock v:ext="edit" aspectratio="f"/>
              </v:shape>
            </w:pict>
          </mc:Fallback>
        </mc:AlternateContent>
      </w:r>
    </w:p>
    <w:p>
      <w:pPr>
        <w:pStyle w:val="7"/>
        <w:widowControl/>
        <w:spacing w:beforeAutospacing="0" w:afterAutospacing="0" w:line="72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关于公布2018年度广东大学生科技创新</w:t>
      </w:r>
    </w:p>
    <w:p>
      <w:pPr>
        <w:pStyle w:val="7"/>
        <w:widowControl/>
        <w:spacing w:beforeAutospacing="0" w:afterAutospacing="0" w:line="72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培育专项资金立项项目的通知</w:t>
      </w:r>
    </w:p>
    <w:p>
      <w:pPr>
        <w:pStyle w:val="7"/>
        <w:widowControl/>
        <w:spacing w:beforeAutospacing="0" w:afterAutospacing="0" w:line="540" w:lineRule="exact"/>
        <w:jc w:val="center"/>
        <w:rPr>
          <w:rFonts w:ascii="方正小标宋简体" w:hAnsi="方正小标宋简体" w:eastAsia="方正小标宋简体" w:cs="方正小标宋简体"/>
          <w:color w:val="000000"/>
          <w:sz w:val="44"/>
          <w:szCs w:val="44"/>
        </w:rPr>
      </w:pPr>
    </w:p>
    <w:p>
      <w:pPr>
        <w:pStyle w:val="7"/>
        <w:widowControl/>
        <w:spacing w:beforeAutospacing="0" w:afterAutospacing="0" w:line="540" w:lineRule="exact"/>
        <w:jc w:val="both"/>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各有关高校团委：</w:t>
      </w:r>
    </w:p>
    <w:p>
      <w:pPr>
        <w:pStyle w:val="7"/>
        <w:widowControl/>
        <w:spacing w:beforeAutospacing="0" w:afterAutospacing="0" w:line="540" w:lineRule="exact"/>
        <w:ind w:firstLine="640" w:firstLineChars="200"/>
        <w:jc w:val="both"/>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根据《关于开</w:t>
      </w:r>
      <w:r>
        <w:rPr>
          <w:rFonts w:ascii="Times New Roman" w:hAnsi="Times New Roman" w:eastAsia="方正仿宋_GBK"/>
          <w:color w:val="000000"/>
          <w:sz w:val="32"/>
          <w:szCs w:val="32"/>
        </w:rPr>
        <w:t>展2018年广东大学生科技创新培育专项资金项目（攀登计划专项）申报的通知》（团粤联发〔2017〕60号），省财政厅、团省委</w:t>
      </w:r>
      <w:r>
        <w:rPr>
          <w:rFonts w:hint="eastAsia" w:ascii="方正仿宋_GBK" w:hAnsi="方正仿宋_GBK" w:eastAsia="方正仿宋_GBK" w:cs="方正仿宋_GBK"/>
          <w:color w:val="000000"/>
          <w:sz w:val="32"/>
          <w:szCs w:val="32"/>
        </w:rPr>
        <w:t>组织开展了</w:t>
      </w:r>
      <w:r>
        <w:rPr>
          <w:rFonts w:ascii="Times New Roman" w:hAnsi="Times New Roman" w:eastAsia="方正仿宋_GBK"/>
          <w:color w:val="000000"/>
          <w:sz w:val="32"/>
          <w:szCs w:val="32"/>
        </w:rPr>
        <w:t>2018</w:t>
      </w:r>
      <w:r>
        <w:rPr>
          <w:rFonts w:hint="eastAsia" w:ascii="方正仿宋_GBK" w:hAnsi="方正仿宋_GBK" w:eastAsia="方正仿宋_GBK" w:cs="方正仿宋_GBK"/>
          <w:color w:val="000000"/>
          <w:sz w:val="32"/>
          <w:szCs w:val="32"/>
        </w:rPr>
        <w:t>年广东大学生科技创新培育专项资金立项项目申报、评审工作。截至申报日，广东攀登计划专项资金申报平台共收到申报项目</w:t>
      </w:r>
      <w:r>
        <w:rPr>
          <w:rFonts w:hint="eastAsia" w:ascii="Times New Roman" w:hAnsi="Times New Roman" w:eastAsia="方正仿宋_GBK"/>
          <w:color w:val="000000"/>
          <w:sz w:val="32"/>
          <w:szCs w:val="32"/>
        </w:rPr>
        <w:t>5228</w:t>
      </w:r>
      <w:r>
        <w:rPr>
          <w:rFonts w:hint="eastAsia" w:ascii="方正仿宋_GBK" w:hAnsi="方正仿宋_GBK" w:eastAsia="方正仿宋_GBK" w:cs="方正仿宋_GBK"/>
          <w:color w:val="000000"/>
          <w:sz w:val="32"/>
          <w:szCs w:val="32"/>
        </w:rPr>
        <w:t>个。经专家评审，遴选出拟立项项目</w:t>
      </w:r>
      <w:r>
        <w:rPr>
          <w:rFonts w:hint="eastAsia" w:ascii="Times New Roman" w:hAnsi="Times New Roman" w:eastAsia="方正仿宋_GBK"/>
          <w:color w:val="000000"/>
          <w:sz w:val="32"/>
          <w:szCs w:val="32"/>
        </w:rPr>
        <w:t>1000</w:t>
      </w:r>
      <w:r>
        <w:rPr>
          <w:rFonts w:hint="eastAsia" w:ascii="方正仿宋_GBK" w:hAnsi="方正仿宋_GBK" w:eastAsia="方正仿宋_GBK" w:cs="方正仿宋_GBK"/>
          <w:color w:val="000000"/>
          <w:sz w:val="32"/>
          <w:szCs w:val="32"/>
        </w:rPr>
        <w:t>个，其中重点项目</w:t>
      </w:r>
      <w:r>
        <w:rPr>
          <w:rFonts w:hint="eastAsia" w:ascii="Times New Roman" w:hAnsi="Times New Roman" w:eastAsia="方正仿宋_GBK"/>
          <w:color w:val="000000"/>
          <w:sz w:val="32"/>
          <w:szCs w:val="32"/>
        </w:rPr>
        <w:t>125</w:t>
      </w:r>
      <w:r>
        <w:rPr>
          <w:rFonts w:hint="eastAsia" w:ascii="方正仿宋_GBK" w:hAnsi="方正仿宋_GBK" w:eastAsia="方正仿宋_GBK" w:cs="方正仿宋_GBK"/>
          <w:color w:val="000000"/>
          <w:sz w:val="32"/>
          <w:szCs w:val="32"/>
        </w:rPr>
        <w:t>个，一般项目</w:t>
      </w:r>
      <w:r>
        <w:rPr>
          <w:rFonts w:hint="eastAsia" w:ascii="Times New Roman" w:hAnsi="Times New Roman" w:eastAsia="方正仿宋_GBK"/>
          <w:color w:val="000000"/>
          <w:sz w:val="32"/>
          <w:szCs w:val="32"/>
        </w:rPr>
        <w:t>875</w:t>
      </w:r>
      <w:r>
        <w:rPr>
          <w:rFonts w:hint="eastAsia" w:ascii="方正仿宋_GBK" w:hAnsi="方正仿宋_GBK" w:eastAsia="方正仿宋_GBK" w:cs="方正仿宋_GBK"/>
          <w:color w:val="000000"/>
          <w:sz w:val="32"/>
          <w:szCs w:val="32"/>
        </w:rPr>
        <w:t>个。</w:t>
      </w:r>
      <w:r>
        <w:rPr>
          <w:rFonts w:ascii="Times New Roman" w:hAnsi="Times New Roman" w:eastAsia="方正仿宋_GBK"/>
          <w:color w:val="000000"/>
          <w:sz w:val="32"/>
          <w:szCs w:val="32"/>
        </w:rPr>
        <w:t>1月26日至2月1日</w:t>
      </w:r>
      <w:r>
        <w:rPr>
          <w:rFonts w:hint="eastAsia" w:ascii="方正仿宋_GBK" w:hAnsi="方正仿宋_GBK" w:eastAsia="方正仿宋_GBK" w:cs="方正仿宋_GBK"/>
          <w:color w:val="000000"/>
          <w:sz w:val="32"/>
          <w:szCs w:val="32"/>
        </w:rPr>
        <w:t>公示后，省财政厅下发了《关于下达</w:t>
      </w:r>
      <w:r>
        <w:rPr>
          <w:rFonts w:hint="eastAsia" w:ascii="Times New Roman" w:hAnsi="Times New Roman" w:eastAsia="方正仿宋_GBK"/>
          <w:color w:val="000000"/>
          <w:sz w:val="32"/>
          <w:szCs w:val="32"/>
        </w:rPr>
        <w:t>2018</w:t>
      </w:r>
      <w:r>
        <w:rPr>
          <w:rFonts w:hint="eastAsia" w:ascii="方正仿宋_GBK" w:hAnsi="方正仿宋_GBK" w:eastAsia="方正仿宋_GBK" w:cs="方正仿宋_GBK"/>
          <w:color w:val="000000"/>
          <w:sz w:val="32"/>
          <w:szCs w:val="32"/>
        </w:rPr>
        <w:t>年大学生科技创新培育专项资金的通知》（粤财教〔</w:t>
      </w:r>
      <w:r>
        <w:rPr>
          <w:rFonts w:hint="eastAsia" w:ascii="Times New Roman" w:hAnsi="Times New Roman" w:eastAsia="方正仿宋_GBK"/>
          <w:color w:val="000000"/>
          <w:sz w:val="32"/>
          <w:szCs w:val="32"/>
        </w:rPr>
        <w:t>2018</w:t>
      </w:r>
      <w:r>
        <w:rPr>
          <w:rFonts w:hint="eastAsia" w:ascii="方正仿宋_GBK" w:hAnsi="方正仿宋_GBK" w:eastAsia="方正仿宋_GBK" w:cs="方正仿宋_GBK"/>
          <w:color w:val="000000"/>
          <w:sz w:val="32"/>
          <w:szCs w:val="32"/>
        </w:rPr>
        <w:t>〕</w:t>
      </w:r>
      <w:r>
        <w:rPr>
          <w:rFonts w:hint="eastAsia" w:ascii="Times New Roman" w:hAnsi="Times New Roman" w:eastAsia="方正仿宋_GBK"/>
          <w:color w:val="000000"/>
          <w:sz w:val="32"/>
          <w:szCs w:val="32"/>
        </w:rPr>
        <w:t>34</w:t>
      </w:r>
      <w:r>
        <w:rPr>
          <w:rFonts w:hint="eastAsia" w:ascii="方正仿宋_GBK" w:hAnsi="方正仿宋_GBK" w:eastAsia="方正仿宋_GBK" w:cs="方正仿宋_GBK"/>
          <w:color w:val="000000"/>
          <w:sz w:val="32"/>
          <w:szCs w:val="32"/>
        </w:rPr>
        <w:t>号），正式确定</w:t>
      </w:r>
      <w:r>
        <w:rPr>
          <w:rFonts w:hint="eastAsia" w:ascii="Times New Roman" w:hAnsi="Times New Roman" w:eastAsia="方正仿宋_GBK"/>
          <w:color w:val="000000"/>
          <w:sz w:val="32"/>
          <w:szCs w:val="32"/>
        </w:rPr>
        <w:t>2018</w:t>
      </w:r>
      <w:r>
        <w:rPr>
          <w:rFonts w:hint="eastAsia" w:ascii="方正仿宋_GBK" w:hAnsi="方正仿宋_GBK" w:eastAsia="方正仿宋_GBK" w:cs="方正仿宋_GBK"/>
          <w:color w:val="000000"/>
          <w:sz w:val="32"/>
          <w:szCs w:val="32"/>
        </w:rPr>
        <w:t>年度广东大学生科技创新培育专项资金分配方案，现将正式立项项目及资金分配方案进行公布。</w:t>
      </w:r>
    </w:p>
    <w:p>
      <w:pPr>
        <w:rPr>
          <w:rFonts w:hint="eastAsia" w:ascii="宋体" w:hAnsi="宋体"/>
          <w:sz w:val="15"/>
          <w:szCs w:val="15"/>
          <w:lang w:val="en-US" w:eastAsia="zh-CN"/>
        </w:rPr>
      </w:pPr>
    </w:p>
    <w:p>
      <w:pPr>
        <w:rPr>
          <w:rFonts w:hint="eastAsia" w:ascii="宋体" w:hAnsi="宋体"/>
          <w:sz w:val="15"/>
          <w:szCs w:val="15"/>
          <w:lang w:val="en-US" w:eastAsia="zh-CN"/>
        </w:rPr>
      </w:pPr>
      <w:r>
        <w:rPr>
          <w:rFonts w:hint="eastAsia" w:ascii="宋体" w:hAnsi="宋体"/>
          <w:sz w:val="15"/>
          <w:szCs w:val="15"/>
          <w:lang w:val="en-US" w:eastAsia="zh-CN"/>
        </w:rPr>
        <w:drawing>
          <wp:inline distT="0" distB="0" distL="114300" distR="114300">
            <wp:extent cx="6113780" cy="908050"/>
            <wp:effectExtent l="0" t="0" r="1270" b="6350"/>
            <wp:docPr id="55" name="图片 55" descr="立项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立项名单"/>
                    <pic:cNvPicPr>
                      <a:picLocks noChangeAspect="1"/>
                    </pic:cNvPicPr>
                  </pic:nvPicPr>
                  <pic:blipFill>
                    <a:blip r:embed="rId15"/>
                    <a:srcRect b="42339"/>
                    <a:stretch>
                      <a:fillRect/>
                    </a:stretch>
                  </pic:blipFill>
                  <pic:spPr>
                    <a:xfrm>
                      <a:off x="0" y="0"/>
                      <a:ext cx="6113780" cy="908050"/>
                    </a:xfrm>
                    <a:prstGeom prst="rect">
                      <a:avLst/>
                    </a:prstGeom>
                  </pic:spPr>
                </pic:pic>
              </a:graphicData>
            </a:graphic>
          </wp:inline>
        </w:drawing>
      </w:r>
    </w:p>
    <w:p>
      <w:pPr>
        <w:rPr>
          <w:rFonts w:hint="eastAsia" w:ascii="宋体" w:hAnsi="宋体"/>
          <w:sz w:val="15"/>
          <w:szCs w:val="15"/>
          <w:lang w:val="en-US" w:eastAsia="zh-CN"/>
        </w:rPr>
      </w:pPr>
    </w:p>
    <w:p>
      <w:pPr>
        <w:rPr>
          <w:rFonts w:hint="eastAsia" w:ascii="宋体" w:hAnsi="宋体"/>
          <w:sz w:val="15"/>
          <w:szCs w:val="15"/>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eastAsia" w:ascii="宋体" w:hAnsi="宋体" w:eastAsia="宋体" w:cs="宋体"/>
          <w:sz w:val="21"/>
          <w:szCs w:val="21"/>
          <w:lang w:eastAsia="zh-CN"/>
        </w:rPr>
      </w:pPr>
      <w:bookmarkStart w:id="10" w:name="_Toc18898"/>
      <w:r>
        <w:rPr>
          <w:rFonts w:hint="eastAsia" w:ascii="宋体" w:hAnsi="宋体" w:eastAsia="宋体" w:cs="宋体"/>
          <w:sz w:val="21"/>
          <w:szCs w:val="21"/>
          <w:lang w:val="en-US" w:eastAsia="zh-CN"/>
        </w:rPr>
        <w:t>(10)</w:t>
      </w:r>
      <w:r>
        <w:rPr>
          <w:rFonts w:hint="eastAsia" w:ascii="宋体" w:hAnsi="宋体" w:eastAsia="宋体" w:cs="宋体"/>
          <w:sz w:val="21"/>
          <w:szCs w:val="21"/>
        </w:rPr>
        <w:t>201</w:t>
      </w:r>
      <w:r>
        <w:rPr>
          <w:rFonts w:hint="eastAsia" w:ascii="宋体" w:hAnsi="宋体" w:eastAsia="宋体" w:cs="宋体"/>
          <w:sz w:val="21"/>
          <w:szCs w:val="21"/>
          <w:lang w:val="en-US" w:eastAsia="zh-CN"/>
        </w:rPr>
        <w:t>9</w:t>
      </w:r>
      <w:r>
        <w:rPr>
          <w:rFonts w:hint="eastAsia" w:ascii="宋体" w:hAnsi="宋体" w:eastAsia="宋体" w:cs="宋体"/>
          <w:sz w:val="21"/>
          <w:szCs w:val="21"/>
        </w:rPr>
        <w:t>年度广东省“攀登计划”大学生科技创新培育专项资金项目</w:t>
      </w:r>
      <w:r>
        <w:rPr>
          <w:rFonts w:hint="eastAsia" w:ascii="宋体" w:hAnsi="宋体" w:eastAsia="宋体" w:cs="宋体"/>
          <w:sz w:val="21"/>
          <w:szCs w:val="21"/>
          <w:lang w:eastAsia="zh-CN"/>
        </w:rPr>
        <w:t>：新能源电动汽车铝合金电机外壳挤压模结构的研究</w:t>
      </w:r>
      <w:bookmarkEnd w:id="10"/>
    </w:p>
    <w:p>
      <w:pPr>
        <w:bidi w:val="0"/>
        <w:jc w:val="center"/>
      </w:pPr>
      <w:r>
        <w:rPr>
          <w:rFonts w:hint="eastAsia"/>
        </w:rPr>
        <w:t>关于公布2019年度广东大学生科技创新培育专项资金资助立项项目</w:t>
      </w:r>
      <w:r>
        <w:rPr>
          <w:rFonts w:hint="eastAsia"/>
          <w:lang w:val="en-US" w:eastAsia="zh-CN"/>
        </w:rPr>
        <w:t>及下拨专项资金</w:t>
      </w:r>
      <w:r>
        <w:rPr>
          <w:rFonts w:hint="eastAsia"/>
        </w:rPr>
        <w:t>的通知</w:t>
      </w:r>
    </w:p>
    <w:p>
      <w:pPr>
        <w:bidi w:val="0"/>
      </w:pPr>
      <w:r>
        <w:rPr>
          <w:rFonts w:hint="eastAsia"/>
        </w:rPr>
        <w:t>各相关高校团委：</w:t>
      </w:r>
    </w:p>
    <w:p>
      <w:pPr>
        <w:bidi w:val="0"/>
        <w:ind w:firstLine="420" w:firstLineChars="200"/>
      </w:pPr>
      <w:r>
        <w:rPr>
          <w:rFonts w:hint="eastAsia"/>
        </w:rPr>
        <w:t>根据《关于开展2019年广东大学生科技创新培育专项资金项目（“攀登计划”专项资金）申报的通知》的要求，团</w:t>
      </w:r>
      <w:r>
        <w:rPr>
          <w:rFonts w:hint="eastAsia"/>
          <w:lang w:val="en-US" w:eastAsia="zh-CN"/>
        </w:rPr>
        <w:t>省委、省财政厅</w:t>
      </w:r>
      <w:r>
        <w:rPr>
          <w:rFonts w:hint="eastAsia"/>
        </w:rPr>
        <w:t>组织开展了2019年度广东大学生科技创新培育专项资金资助立项项目申报及评审工作。截止2018年11月25日，广东大学生科技创新培育专项资金申报平台共收到申报项目5343个。经专家评审</w:t>
      </w:r>
      <w:r>
        <w:rPr>
          <w:rFonts w:hint="default"/>
        </w:rPr>
        <w:t>和公示</w:t>
      </w:r>
      <w:r>
        <w:rPr>
          <w:rFonts w:hint="eastAsia"/>
        </w:rPr>
        <w:t>，遴选出拟立项项目1000个，其中重点项目125个，一般项目875个</w:t>
      </w:r>
      <w:r>
        <w:rPr>
          <w:rFonts w:hint="eastAsia"/>
          <w:lang w:eastAsia="zh-CN"/>
        </w:rPr>
        <w:t>。</w:t>
      </w:r>
      <w:r>
        <w:rPr>
          <w:rFonts w:hint="eastAsia"/>
        </w:rPr>
        <w:t>省</w:t>
      </w:r>
      <w:r>
        <w:rPr>
          <w:rFonts w:hint="eastAsia"/>
          <w:lang w:val="en-US" w:eastAsia="zh-CN"/>
        </w:rPr>
        <w:t>财政</w:t>
      </w:r>
      <w:r>
        <w:rPr>
          <w:rFonts w:hint="eastAsia"/>
        </w:rPr>
        <w:t>厅</w:t>
      </w:r>
      <w:r>
        <w:rPr>
          <w:rFonts w:hint="eastAsia"/>
          <w:lang w:val="en-US" w:eastAsia="zh-CN"/>
        </w:rPr>
        <w:t>于近期印发了《关于下达2019年度广东大学生科技创新培育专项资金的通知》（粤财教〔2019〕 93号），正式确定2019年度广东大学生科技创新培育专项资金分配方案，现就有关</w:t>
      </w:r>
      <w:r>
        <w:rPr>
          <w:rFonts w:hint="eastAsia"/>
        </w:rPr>
        <w:t>资助资金拨付申请</w:t>
      </w:r>
      <w:r>
        <w:rPr>
          <w:rFonts w:hint="eastAsia"/>
          <w:lang w:val="en-US" w:eastAsia="zh-CN"/>
        </w:rPr>
        <w:t>和项目管理培育的</w:t>
      </w:r>
      <w:r>
        <w:rPr>
          <w:rFonts w:hint="eastAsia"/>
        </w:rPr>
        <w:t>工作</w:t>
      </w:r>
      <w:r>
        <w:rPr>
          <w:rFonts w:hint="default"/>
        </w:rPr>
        <w:t>明确如下</w:t>
      </w:r>
      <w:r>
        <w:rPr>
          <w:rFonts w:hint="eastAsia"/>
        </w:rPr>
        <w:t>：</w:t>
      </w:r>
    </w:p>
    <w:p>
      <w:pPr>
        <w:bidi w:val="0"/>
        <w:ind w:firstLine="420" w:firstLineChars="200"/>
      </w:pPr>
      <w:r>
        <w:rPr>
          <w:rFonts w:hint="eastAsia"/>
        </w:rPr>
        <w:t>一、省直单位直管高校</w:t>
      </w:r>
      <w:r>
        <w:rPr>
          <w:rFonts w:hint="eastAsia"/>
          <w:lang w:val="en-US" w:eastAsia="zh-CN"/>
        </w:rPr>
        <w:t>专项资金</w:t>
      </w:r>
      <w:r>
        <w:rPr>
          <w:rFonts w:hint="eastAsia"/>
        </w:rPr>
        <w:t>划拨至上一级财政单位</w:t>
      </w:r>
    </w:p>
    <w:p>
      <w:pPr>
        <w:bidi w:val="0"/>
        <w:rPr>
          <w:rFonts w:hint="eastAsia"/>
        </w:rPr>
      </w:pPr>
      <w:r>
        <w:rPr>
          <w:rFonts w:hint="eastAsia"/>
          <w:lang w:val="en-US" w:eastAsia="zh-CN"/>
        </w:rPr>
        <w:t>经费</w:t>
      </w:r>
      <w:r>
        <w:rPr>
          <w:rFonts w:hint="default"/>
          <w:lang w:eastAsia="zh-CN"/>
        </w:rPr>
        <w:t>下达到位后</w:t>
      </w:r>
      <w:r>
        <w:rPr>
          <w:rFonts w:hint="eastAsia"/>
        </w:rPr>
        <w:t>，相关高校可凭经费拨付通知</w:t>
      </w:r>
      <w:r>
        <w:rPr>
          <w:rFonts w:hint="eastAsia"/>
          <w:lang w:eastAsia="zh-CN"/>
        </w:rPr>
        <w:t>（</w:t>
      </w:r>
      <w:r>
        <w:rPr>
          <w:rFonts w:hint="eastAsia"/>
          <w:lang w:val="en-US" w:eastAsia="zh-CN"/>
        </w:rPr>
        <w:t>详见附件1</w:t>
      </w:r>
      <w:r>
        <w:rPr>
          <w:rFonts w:hint="eastAsia"/>
          <w:lang w:eastAsia="zh-CN"/>
        </w:rPr>
        <w:t>）</w:t>
      </w:r>
      <w:r>
        <w:rPr>
          <w:rFonts w:hint="eastAsia"/>
        </w:rPr>
        <w:t>到上一级财政单位按要求办理经费申请手续。</w:t>
      </w:r>
    </w:p>
    <w:p>
      <w:pPr>
        <w:bidi w:val="0"/>
        <w:ind w:firstLine="420" w:firstLineChars="200"/>
      </w:pPr>
      <w:r>
        <w:rPr>
          <w:rFonts w:hint="eastAsia"/>
        </w:rPr>
        <w:t>二、地市直管高校</w:t>
      </w:r>
      <w:r>
        <w:rPr>
          <w:rFonts w:hint="eastAsia"/>
          <w:lang w:val="en-US" w:eastAsia="zh-CN"/>
        </w:rPr>
        <w:t>专项资金</w:t>
      </w:r>
      <w:r>
        <w:rPr>
          <w:rFonts w:hint="eastAsia"/>
        </w:rPr>
        <w:t>划拨至所在地市财政局</w:t>
      </w:r>
    </w:p>
    <w:p>
      <w:pPr>
        <w:bidi w:val="0"/>
        <w:ind w:firstLine="420" w:firstLineChars="200"/>
        <w:rPr>
          <w:rFonts w:hint="eastAsia"/>
        </w:rPr>
      </w:pPr>
      <w:r>
        <w:rPr>
          <w:rFonts w:hint="eastAsia"/>
          <w:lang w:val="en-US" w:eastAsia="zh-CN"/>
        </w:rPr>
        <w:t>经费</w:t>
      </w:r>
      <w:r>
        <w:rPr>
          <w:rFonts w:hint="default"/>
          <w:lang w:eastAsia="zh-CN"/>
        </w:rPr>
        <w:t>下达到位后</w:t>
      </w:r>
      <w:r>
        <w:rPr>
          <w:rFonts w:hint="eastAsia"/>
        </w:rPr>
        <w:t>，相关高校可凭经费拨付通知</w:t>
      </w:r>
      <w:r>
        <w:rPr>
          <w:rFonts w:hint="eastAsia"/>
          <w:lang w:eastAsia="zh-CN"/>
        </w:rPr>
        <w:t>（</w:t>
      </w:r>
      <w:r>
        <w:rPr>
          <w:rFonts w:hint="eastAsia"/>
          <w:lang w:val="en-US" w:eastAsia="zh-CN"/>
        </w:rPr>
        <w:t>详见附件1</w:t>
      </w:r>
      <w:r>
        <w:rPr>
          <w:rFonts w:hint="eastAsia"/>
          <w:lang w:eastAsia="zh-CN"/>
        </w:rPr>
        <w:t>）</w:t>
      </w:r>
      <w:r>
        <w:rPr>
          <w:rFonts w:hint="eastAsia"/>
        </w:rPr>
        <w:t>到所在地市财政局按要求办理经费申请手续。</w:t>
      </w:r>
    </w:p>
    <w:p>
      <w:pPr>
        <w:bidi w:val="0"/>
        <w:ind w:firstLine="420" w:firstLineChars="200"/>
        <w:rPr>
          <w:rFonts w:hint="eastAsia"/>
          <w:lang w:val="en-US" w:eastAsia="zh-CN"/>
        </w:rPr>
      </w:pPr>
      <w:r>
        <w:rPr>
          <w:rFonts w:hint="eastAsia"/>
          <w:lang w:val="en-US" w:eastAsia="zh-CN"/>
        </w:rPr>
        <w:t>部属和</w:t>
      </w:r>
      <w:r>
        <w:rPr>
          <w:rFonts w:hint="eastAsia"/>
        </w:rPr>
        <w:t>民办高校专项</w:t>
      </w:r>
      <w:r>
        <w:rPr>
          <w:rFonts w:hint="eastAsia"/>
          <w:lang w:val="en-US" w:eastAsia="zh-CN"/>
        </w:rPr>
        <w:t>资金</w:t>
      </w:r>
      <w:r>
        <w:rPr>
          <w:rFonts w:hint="eastAsia"/>
        </w:rPr>
        <w:t>由</w:t>
      </w:r>
      <w:r>
        <w:rPr>
          <w:rFonts w:hint="eastAsia"/>
          <w:lang w:val="en-US" w:eastAsia="zh-CN"/>
        </w:rPr>
        <w:t>团省委转拨</w:t>
      </w:r>
    </w:p>
    <w:p>
      <w:pPr>
        <w:bidi w:val="0"/>
        <w:ind w:firstLine="420" w:firstLineChars="200"/>
        <w:rPr>
          <w:rFonts w:hint="eastAsia"/>
        </w:rPr>
      </w:pPr>
      <w:r>
        <w:rPr>
          <w:rFonts w:hint="default"/>
        </w:rPr>
        <w:t>各</w:t>
      </w:r>
      <w:r>
        <w:rPr>
          <w:rFonts w:hint="eastAsia"/>
        </w:rPr>
        <w:t>相关高校</w:t>
      </w:r>
      <w:r>
        <w:rPr>
          <w:rFonts w:hint="eastAsia"/>
          <w:lang w:val="en-US" w:eastAsia="zh-CN"/>
        </w:rPr>
        <w:t>团委</w:t>
      </w:r>
      <w:r>
        <w:rPr>
          <w:rFonts w:hint="eastAsia"/>
        </w:rPr>
        <w:t>（详见附件2）</w:t>
      </w:r>
      <w:r>
        <w:rPr>
          <w:rFonts w:hint="default"/>
        </w:rPr>
        <w:t>需</w:t>
      </w:r>
      <w:r>
        <w:rPr>
          <w:rFonts w:hint="eastAsia"/>
          <w:lang w:val="en-US" w:eastAsia="zh-CN"/>
        </w:rPr>
        <w:t>向团省委</w:t>
      </w:r>
      <w:r>
        <w:rPr>
          <w:rFonts w:hint="default"/>
        </w:rPr>
        <w:t>提交以下</w:t>
      </w:r>
      <w:r>
        <w:rPr>
          <w:rFonts w:hint="eastAsia"/>
          <w:lang w:val="en-US" w:eastAsia="zh-CN"/>
        </w:rPr>
        <w:t>申请材料</w:t>
      </w:r>
      <w:r>
        <w:rPr>
          <w:rFonts w:hint="eastAsia"/>
        </w:rPr>
        <w:t>：一是根据本校立项项目、项目资助情况和本校对公账户相关信息，统一以学校为单位，形成经费使用申请文件（详见附件3）；二是开具一张相应金额的行政事业单位往来结算票据或发票</w:t>
      </w:r>
      <w:r>
        <w:rPr>
          <w:rFonts w:hint="eastAsia"/>
          <w:lang w:eastAsia="zh-CN"/>
        </w:rPr>
        <w:t>，</w:t>
      </w:r>
      <w:r>
        <w:rPr>
          <w:rFonts w:hint="eastAsia"/>
        </w:rPr>
        <w:t>（开票名称：共青团广东省委员会、税号：13440000006940490C），明细为“2019</w:t>
      </w:r>
      <w:r>
        <w:rPr>
          <w:rFonts w:hint="eastAsia"/>
          <w:lang w:val="en-US" w:eastAsia="zh-CN"/>
        </w:rPr>
        <w:t>年度</w:t>
      </w:r>
      <w:r>
        <w:rPr>
          <w:rFonts w:hint="eastAsia"/>
        </w:rPr>
        <w:t>广东大学生科技创新培育专项资金立项项目资助费用”，并加盖本校财务</w:t>
      </w:r>
      <w:r>
        <w:rPr>
          <w:rFonts w:hint="eastAsia"/>
          <w:lang w:val="en-US" w:eastAsia="zh-CN"/>
        </w:rPr>
        <w:t>部门</w:t>
      </w:r>
      <w:r>
        <w:rPr>
          <w:rFonts w:hint="eastAsia"/>
        </w:rPr>
        <w:t>公章。请将上述两份材料于</w:t>
      </w:r>
      <w:r>
        <w:rPr>
          <w:rFonts w:hint="eastAsia"/>
          <w:lang w:val="en-US" w:eastAsia="zh-CN"/>
        </w:rPr>
        <w:t>5</w:t>
      </w:r>
      <w:r>
        <w:rPr>
          <w:rFonts w:hint="eastAsia"/>
        </w:rPr>
        <w:t>月</w:t>
      </w:r>
      <w:r>
        <w:rPr>
          <w:rFonts w:hint="default"/>
        </w:rPr>
        <w:t>12</w:t>
      </w:r>
      <w:r>
        <w:rPr>
          <w:rFonts w:hint="eastAsia"/>
        </w:rPr>
        <w:t>日前一并寄送至团省委学校部，同时将可编辑word版本和pdf文件（盖章扫描版）发送至指定邮箱，文件命名“学校名称+‘攀登计划’经费申请材料”。</w:t>
      </w:r>
    </w:p>
    <w:p>
      <w:pPr>
        <w:bidi w:val="0"/>
        <w:ind w:firstLine="420" w:firstLineChars="200"/>
        <w:rPr>
          <w:rFonts w:hint="eastAsia"/>
          <w:lang w:val="en-US" w:eastAsia="zh-CN"/>
        </w:rPr>
      </w:pPr>
      <w:r>
        <w:rPr>
          <w:rFonts w:hint="eastAsia"/>
          <w:lang w:val="en-US" w:eastAsia="zh-CN"/>
        </w:rPr>
        <w:t>四、工作要求</w:t>
      </w:r>
    </w:p>
    <w:p>
      <w:pPr>
        <w:bidi w:val="0"/>
        <w:ind w:firstLine="420" w:firstLineChars="200"/>
        <w:rPr>
          <w:rFonts w:hint="eastAsia"/>
          <w:lang w:val="en-US" w:eastAsia="zh-CN"/>
        </w:rPr>
      </w:pPr>
      <w:r>
        <w:rPr>
          <w:rFonts w:hint="eastAsia"/>
          <w:lang w:val="en-US" w:eastAsia="zh-CN"/>
        </w:rPr>
        <w:t>经费</w:t>
      </w:r>
      <w:r>
        <w:rPr>
          <w:rFonts w:hint="default"/>
          <w:lang w:eastAsia="zh-CN"/>
        </w:rPr>
        <w:t>下达到位后</w:t>
      </w:r>
      <w:r>
        <w:rPr>
          <w:rFonts w:hint="eastAsia"/>
          <w:lang w:val="en-US" w:eastAsia="zh-CN"/>
        </w:rPr>
        <w:t>，各相关高校团委应及时告知项目负责人，并严格根据《广东大学生科技创新专项资金管理办法》有关规定，承担好立项项目的培育、辅导、监督和经费管理工作，为广大师生提供全方位的创新支持和保障，为创新成果的孵化创造有利环境。</w:t>
      </w:r>
    </w:p>
    <w:p>
      <w:pPr>
        <w:bidi w:val="0"/>
        <w:ind w:firstLine="420" w:firstLineChars="200"/>
        <w:rPr>
          <w:rFonts w:hint="eastAsia"/>
          <w:lang w:val="en-US" w:eastAsia="zh-CN"/>
        </w:rPr>
      </w:pPr>
      <w:r>
        <w:rPr>
          <w:rFonts w:hint="eastAsia"/>
          <w:lang w:val="en-US" w:eastAsia="zh-CN"/>
        </w:rPr>
        <w:t>（一）项目开展研究前，要对项目负责人进行项目实施注意事项、项目结项要求、如何进行自主的科研创新和科研方案制定、报账流程等方面的培训，指导和督促立项团队依法依规、扎实做好项目研究工作。</w:t>
      </w:r>
    </w:p>
    <w:p>
      <w:pPr>
        <w:bidi w:val="0"/>
        <w:ind w:firstLine="420" w:firstLineChars="200"/>
        <w:rPr>
          <w:rFonts w:hint="eastAsia"/>
          <w:lang w:val="en-US" w:eastAsia="zh-CN"/>
        </w:rPr>
      </w:pPr>
      <w:r>
        <w:rPr>
          <w:rFonts w:hint="eastAsia"/>
          <w:lang w:val="en-US" w:eastAsia="zh-CN"/>
        </w:rPr>
        <w:t>（二）项目开展研究后，要严格按照财政专项资金使用范围要求，专款专用，单独列账，独立核算，专项资金主要用于科研业务、差旅会议、实验材料、仪器设备、专家咨询和国际合作与交流等支出。</w:t>
      </w:r>
    </w:p>
    <w:p>
      <w:pPr>
        <w:bidi w:val="0"/>
        <w:ind w:firstLine="420" w:firstLineChars="200"/>
        <w:rPr>
          <w:rFonts w:hint="eastAsia"/>
          <w:lang w:val="en-US" w:eastAsia="zh-CN"/>
        </w:rPr>
      </w:pPr>
      <w:r>
        <w:rPr>
          <w:rFonts w:hint="eastAsia"/>
          <w:lang w:val="en-US" w:eastAsia="zh-CN"/>
        </w:rPr>
        <w:t>（三）项目研究完成后，在进行论文发表、成果转化时，需要具体说明立项项目受“2019年广东大学生科技创新培育专项资金”资助并标注项目编号。同时需在规定时间内做好项目总结工作，按照《广东大学生科技创新专项资金管理办法》关于结题验收的要求，主持完成并提交本校立项项目结题验收工作。</w:t>
      </w:r>
    </w:p>
    <w:p>
      <w:pPr>
        <w:bidi w:val="0"/>
      </w:pPr>
      <w:r>
        <w:rPr>
          <w:rFonts w:hint="eastAsia"/>
        </w:rPr>
        <w:t>附件：1.</w:t>
      </w:r>
      <w:r>
        <w:rPr>
          <w:rFonts w:hint="eastAsia"/>
          <w:lang w:val="en-US" w:eastAsia="zh-CN"/>
        </w:rPr>
        <w:t>关于下达2019年度广东大学生科技创新培育专项资金的通知</w:t>
      </w:r>
    </w:p>
    <w:p>
      <w:pPr>
        <w:bidi w:val="0"/>
      </w:pPr>
      <w:r>
        <w:rPr>
          <w:rFonts w:hint="eastAsia"/>
        </w:rPr>
        <w:t xml:space="preserve">      2.</w:t>
      </w:r>
      <w:r>
        <w:rPr>
          <w:rFonts w:hint="default"/>
        </w:rPr>
        <w:t>团省委转拨资金的高校名单</w:t>
      </w:r>
    </w:p>
    <w:p>
      <w:pPr>
        <w:bidi w:val="0"/>
        <w:ind w:firstLine="210" w:firstLineChars="100"/>
        <w:rPr>
          <w:rFonts w:hint="eastAsia"/>
        </w:rPr>
      </w:pPr>
      <w:r>
        <w:rPr>
          <w:rFonts w:hint="eastAsia"/>
        </w:rPr>
        <w:t>3.关于对2019年度广东大学生科技创新培育专项资金的经费申请（模板）</w:t>
      </w:r>
    </w:p>
    <w:p>
      <w:pPr>
        <w:bidi w:val="0"/>
      </w:pPr>
      <w:r>
        <w:rPr>
          <w:rFonts w:hint="eastAsia"/>
        </w:rPr>
        <w:t>团省委学校部</w:t>
      </w:r>
    </w:p>
    <w:p>
      <w:pPr>
        <w:bidi w:val="0"/>
      </w:pPr>
      <w:r>
        <w:rPr>
          <w:rFonts w:hint="eastAsia"/>
        </w:rPr>
        <w:t>联 系 人：罗  珂、唐显锋、梁铭升</w:t>
      </w:r>
    </w:p>
    <w:p>
      <w:pPr>
        <w:bidi w:val="0"/>
      </w:pPr>
      <w:r>
        <w:rPr>
          <w:rFonts w:hint="eastAsia"/>
        </w:rPr>
        <w:t>联系电话：020-87185614</w:t>
      </w:r>
    </w:p>
    <w:p>
      <w:pPr>
        <w:bidi w:val="0"/>
        <w:rPr>
          <w:rFonts w:hint="eastAsia"/>
        </w:rPr>
      </w:pPr>
      <w:r>
        <w:rPr>
          <w:rFonts w:hint="eastAsia"/>
        </w:rPr>
        <w:t>邮    箱：</w:t>
      </w:r>
      <w:r>
        <w:fldChar w:fldCharType="begin"/>
      </w:r>
      <w:r>
        <w:instrText xml:space="preserve"> HYPERLINK "mailto:tswkjcx@163.com" </w:instrText>
      </w:r>
      <w:r>
        <w:fldChar w:fldCharType="separate"/>
      </w:r>
      <w:r>
        <w:rPr>
          <w:rFonts w:hint="eastAsia"/>
        </w:rPr>
        <w:t>tswkjcx@163.com</w:t>
      </w:r>
      <w:r>
        <w:rPr>
          <w:rFonts w:hint="eastAsia"/>
        </w:rPr>
        <w:fldChar w:fldCharType="end"/>
      </w:r>
    </w:p>
    <w:p>
      <w:pPr>
        <w:bidi w:val="0"/>
        <w:rPr>
          <w:rFonts w:hint="eastAsia"/>
          <w:lang w:val="en-US" w:eastAsia="zh-CN"/>
        </w:rPr>
      </w:pPr>
      <w:r>
        <w:rPr>
          <w:rFonts w:hint="eastAsia"/>
          <w:lang w:val="en-US" w:eastAsia="zh-CN"/>
        </w:rPr>
        <w:t>邮政编码：</w:t>
      </w:r>
      <w:r>
        <w:rPr>
          <w:rFonts w:hint="eastAsia"/>
        </w:rPr>
        <w:t>510000</w:t>
      </w:r>
    </w:p>
    <w:p>
      <w:pPr>
        <w:bidi w:val="0"/>
      </w:pPr>
      <w:r>
        <w:rPr>
          <w:rFonts w:hint="eastAsia"/>
        </w:rPr>
        <w:t>地    址：广东省广州市越秀区寺贝通津一号大院团省委学校部</w:t>
      </w:r>
    </w:p>
    <w:p>
      <w:pPr>
        <w:bidi w:val="0"/>
      </w:pPr>
    </w:p>
    <w:p>
      <w:pPr>
        <w:bidi w:val="0"/>
      </w:pPr>
      <w:r>
        <w:rPr>
          <w:rFonts w:hint="eastAsia"/>
        </w:rPr>
        <w:t>共青团广东省委办公室</w:t>
      </w:r>
    </w:p>
    <w:p>
      <w:pPr>
        <w:bidi w:val="0"/>
        <w:rPr>
          <w:rFonts w:hint="eastAsia" w:ascii="方正仿宋_GBK" w:hAnsi="方正仿宋_GBK" w:eastAsia="方正仿宋_GBK" w:cs="方正仿宋_GBK"/>
          <w:color w:val="333333"/>
          <w:kern w:val="36"/>
          <w:szCs w:val="32"/>
        </w:rPr>
      </w:pPr>
      <w:r>
        <w:rPr>
          <w:rFonts w:hint="eastAsia"/>
        </w:rPr>
        <w:t xml:space="preserve">                                2019年4月</w:t>
      </w:r>
      <w:r>
        <w:rPr>
          <w:rFonts w:hint="eastAsia"/>
          <w:lang w:val="en-US" w:eastAsia="zh-CN"/>
        </w:rPr>
        <w:t>29</w:t>
      </w:r>
      <w:r>
        <w:rPr>
          <w:rFonts w:hint="eastAsia"/>
        </w:rPr>
        <w:t xml:space="preserve">日    </w:t>
      </w:r>
    </w:p>
    <w:p>
      <w:pPr>
        <w:jc w:val="left"/>
        <w:rPr>
          <w:rFonts w:hint="eastAsia" w:ascii="宋体" w:hAnsi="宋体" w:cs="宋体"/>
          <w:b/>
          <w:bCs/>
          <w:lang w:val="en-US" w:eastAsia="zh-CN"/>
        </w:rPr>
      </w:pPr>
    </w:p>
    <w:p>
      <w:pPr>
        <w:jc w:val="left"/>
        <w:rPr>
          <w:rFonts w:hint="default" w:ascii="宋体" w:hAnsi="宋体" w:cs="宋体"/>
          <w:b/>
          <w:bCs/>
          <w:lang w:val="en-US" w:eastAsia="zh-CN"/>
        </w:rPr>
      </w:pPr>
      <w:r>
        <w:rPr>
          <w:rFonts w:hint="eastAsia" w:ascii="宋体" w:hAnsi="宋体" w:cs="宋体"/>
          <w:b/>
          <w:bCs/>
          <w:lang w:val="en-US" w:eastAsia="zh-CN"/>
        </w:rPr>
        <w:t>附件2第35项自然科学类，下面截图：</w:t>
      </w:r>
    </w:p>
    <w:p>
      <w:pPr>
        <w:jc w:val="center"/>
      </w:pPr>
      <w:r>
        <w:drawing>
          <wp:inline distT="0" distB="0" distL="114300" distR="114300">
            <wp:extent cx="5269230" cy="1395095"/>
            <wp:effectExtent l="0" t="0" r="7620" b="1460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6"/>
                    <a:stretch>
                      <a:fillRect/>
                    </a:stretch>
                  </pic:blipFill>
                  <pic:spPr>
                    <a:xfrm>
                      <a:off x="0" y="0"/>
                      <a:ext cx="5269230" cy="1395095"/>
                    </a:xfrm>
                    <a:prstGeom prst="rect">
                      <a:avLst/>
                    </a:prstGeom>
                    <a:noFill/>
                    <a:ln>
                      <a:noFill/>
                    </a:ln>
                  </pic:spPr>
                </pic:pic>
              </a:graphicData>
            </a:graphic>
          </wp:inline>
        </w:drawing>
      </w:r>
    </w:p>
    <w:p>
      <w:pPr>
        <w:jc w:val="center"/>
      </w:pPr>
    </w:p>
    <w:p>
      <w:pPr>
        <w:jc w:val="center"/>
      </w:pPr>
    </w:p>
    <w:p>
      <w:pPr>
        <w:jc w:val="cente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outlineLvl w:val="1"/>
        <w:rPr>
          <w:rFonts w:hint="default" w:ascii="宋体" w:hAnsi="宋体" w:eastAsia="宋体" w:cs="宋体"/>
          <w:sz w:val="21"/>
          <w:szCs w:val="21"/>
          <w:lang w:val="en-US" w:eastAsia="zh-CN"/>
        </w:rPr>
      </w:pPr>
      <w:bookmarkStart w:id="11" w:name="_Toc20049"/>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11）2018年大学生创新创业训练计划项目</w:t>
      </w:r>
      <w:bookmarkEnd w:id="11"/>
    </w:p>
    <w:p>
      <w:pPr>
        <w:jc w:val="center"/>
      </w:pPr>
    </w:p>
    <w:p>
      <w:pPr>
        <w:jc w:val="center"/>
        <w:rPr>
          <w:rFonts w:hint="eastAsia" w:eastAsiaTheme="minorEastAsia"/>
          <w:lang w:eastAsia="zh-CN"/>
        </w:rPr>
      </w:pPr>
      <w:r>
        <w:rPr>
          <w:rFonts w:hint="eastAsia" w:eastAsiaTheme="minorEastAsia"/>
          <w:lang w:eastAsia="zh-CN"/>
        </w:rPr>
        <w:drawing>
          <wp:inline distT="0" distB="0" distL="114300" distR="114300">
            <wp:extent cx="5267960" cy="2976245"/>
            <wp:effectExtent l="0" t="0" r="8890" b="14605"/>
            <wp:docPr id="64" name="图片 64" descr="公布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公布文"/>
                    <pic:cNvPicPr>
                      <a:picLocks noChangeAspect="1"/>
                    </pic:cNvPicPr>
                  </pic:nvPicPr>
                  <pic:blipFill>
                    <a:blip r:embed="rId17"/>
                    <a:stretch>
                      <a:fillRect/>
                    </a:stretch>
                  </pic:blipFill>
                  <pic:spPr>
                    <a:xfrm>
                      <a:off x="0" y="0"/>
                      <a:ext cx="5267960" cy="2976245"/>
                    </a:xfrm>
                    <a:prstGeom prst="rect">
                      <a:avLst/>
                    </a:prstGeom>
                  </pic:spPr>
                </pic:pic>
              </a:graphicData>
            </a:graphic>
          </wp:inline>
        </w:drawing>
      </w:r>
    </w:p>
    <w:p>
      <w:pPr>
        <w:jc w:val="both"/>
        <w:rPr>
          <w:rFonts w:hint="eastAsia" w:eastAsiaTheme="minorEastAsia"/>
          <w:lang w:eastAsia="zh-CN"/>
        </w:rPr>
      </w:pPr>
      <w:r>
        <w:rPr>
          <w:rFonts w:hint="eastAsia" w:eastAsiaTheme="minorEastAsia"/>
          <w:lang w:eastAsia="zh-CN"/>
        </w:rPr>
        <w:drawing>
          <wp:inline distT="0" distB="0" distL="114300" distR="114300">
            <wp:extent cx="5979795" cy="1043305"/>
            <wp:effectExtent l="0" t="0" r="1905" b="4445"/>
            <wp:docPr id="65" name="图片 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
                    <pic:cNvPicPr>
                      <a:picLocks noChangeAspect="1"/>
                    </pic:cNvPicPr>
                  </pic:nvPicPr>
                  <pic:blipFill>
                    <a:blip r:embed="rId18"/>
                    <a:srcRect r="1039" b="24668"/>
                    <a:stretch>
                      <a:fillRect/>
                    </a:stretch>
                  </pic:blipFill>
                  <pic:spPr>
                    <a:xfrm>
                      <a:off x="0" y="0"/>
                      <a:ext cx="5979795" cy="1043305"/>
                    </a:xfrm>
                    <a:prstGeom prst="rect">
                      <a:avLst/>
                    </a:prstGeom>
                  </pic:spPr>
                </pic:pic>
              </a:graphicData>
            </a:graphic>
          </wp:inline>
        </w:drawing>
      </w:r>
      <w:r>
        <w:rPr>
          <w:rFonts w:hint="eastAsia" w:eastAsiaTheme="minorEastAsia"/>
          <w:lang w:eastAsia="zh-CN"/>
        </w:rPr>
        <w:drawing>
          <wp:inline distT="0" distB="0" distL="114300" distR="114300">
            <wp:extent cx="6000115" cy="2936875"/>
            <wp:effectExtent l="0" t="0" r="635" b="15875"/>
            <wp:docPr id="66" name="图片 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
                    <pic:cNvPicPr>
                      <a:picLocks noChangeAspect="1"/>
                    </pic:cNvPicPr>
                  </pic:nvPicPr>
                  <pic:blipFill>
                    <a:blip r:embed="rId19"/>
                    <a:stretch>
                      <a:fillRect/>
                    </a:stretch>
                  </pic:blipFill>
                  <pic:spPr>
                    <a:xfrm>
                      <a:off x="0" y="0"/>
                      <a:ext cx="6000115" cy="2936875"/>
                    </a:xfrm>
                    <a:prstGeom prst="rect">
                      <a:avLst/>
                    </a:prstGeom>
                  </pic:spPr>
                </pic:pic>
              </a:graphicData>
            </a:graphic>
          </wp:inline>
        </w:drawing>
      </w:r>
    </w:p>
    <w:p>
      <w:pPr>
        <w:jc w:val="center"/>
        <w:rPr>
          <w:rFonts w:hint="default"/>
          <w:lang w:val="en-US" w:eastAsia="zh-CN"/>
        </w:rPr>
      </w:pPr>
      <w:r>
        <w:rPr>
          <w:rFonts w:hint="eastAsia" w:eastAsiaTheme="minorEastAsia"/>
          <w:lang w:eastAsia="zh-CN"/>
        </w:rPr>
        <w:drawing>
          <wp:inline distT="0" distB="0" distL="114300" distR="114300">
            <wp:extent cx="5924550" cy="2136140"/>
            <wp:effectExtent l="0" t="0" r="0" b="16510"/>
            <wp:docPr id="67" name="图片 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
                    <pic:cNvPicPr>
                      <a:picLocks noChangeAspect="1"/>
                    </pic:cNvPicPr>
                  </pic:nvPicPr>
                  <pic:blipFill>
                    <a:blip r:embed="rId20"/>
                    <a:srcRect l="1809" t="1810" r="740"/>
                    <a:stretch>
                      <a:fillRect/>
                    </a:stretch>
                  </pic:blipFill>
                  <pic:spPr>
                    <a:xfrm>
                      <a:off x="0" y="0"/>
                      <a:ext cx="5924550" cy="2136140"/>
                    </a:xfrm>
                    <a:prstGeom prst="rect">
                      <a:avLst/>
                    </a:prstGeom>
                  </pic:spPr>
                </pic:pic>
              </a:graphicData>
            </a:graphic>
          </wp:inline>
        </w:drawing>
      </w:r>
    </w:p>
    <w:sectPr>
      <w:footerReference r:id="rId3" w:type="default"/>
      <w:pgSz w:w="11906" w:h="16838"/>
      <w:pgMar w:top="1440" w:right="1134" w:bottom="1440"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59skyrgEAAE0D&#10;AAAOAAAAAAAAAAEAIAAAAB4BAABkcnMvZTJvRG9jLnhtbFBLBQYAAAAABgAGAFkBAAA+BQ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805D22"/>
    <w:multiLevelType w:val="singleLevel"/>
    <w:tmpl w:val="BA805D22"/>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9C2346"/>
    <w:rsid w:val="01E65764"/>
    <w:rsid w:val="02EC5681"/>
    <w:rsid w:val="083A00AD"/>
    <w:rsid w:val="0D55723A"/>
    <w:rsid w:val="0FDD4DB3"/>
    <w:rsid w:val="131B7AA4"/>
    <w:rsid w:val="1BED1EA2"/>
    <w:rsid w:val="1C4874FF"/>
    <w:rsid w:val="1E8C392E"/>
    <w:rsid w:val="2124397F"/>
    <w:rsid w:val="21431DDF"/>
    <w:rsid w:val="246D63B1"/>
    <w:rsid w:val="278229E7"/>
    <w:rsid w:val="2C694CEC"/>
    <w:rsid w:val="35D80CBF"/>
    <w:rsid w:val="375853CB"/>
    <w:rsid w:val="3EFC582C"/>
    <w:rsid w:val="44F41AB1"/>
    <w:rsid w:val="486230BC"/>
    <w:rsid w:val="49792DA3"/>
    <w:rsid w:val="4AA51680"/>
    <w:rsid w:val="4CFB235B"/>
    <w:rsid w:val="4D061F0F"/>
    <w:rsid w:val="4F576DFF"/>
    <w:rsid w:val="529C2346"/>
    <w:rsid w:val="5ADB24F0"/>
    <w:rsid w:val="5BBC2EED"/>
    <w:rsid w:val="5DE62BAB"/>
    <w:rsid w:val="5FDA6541"/>
    <w:rsid w:val="695329BD"/>
    <w:rsid w:val="6D4C6B4D"/>
    <w:rsid w:val="6D5C30DF"/>
    <w:rsid w:val="6FD13BC7"/>
    <w:rsid w:val="6FED2819"/>
    <w:rsid w:val="717E5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toc 1"/>
    <w:basedOn w:val="1"/>
    <w:next w:val="1"/>
    <w:uiPriority w:val="0"/>
  </w:style>
  <w:style w:type="paragraph" w:styleId="5">
    <w:name w:val="toc 2"/>
    <w:basedOn w:val="1"/>
    <w:next w:val="1"/>
    <w:uiPriority w:val="0"/>
    <w:pPr>
      <w:ind w:left="420" w:leftChars="200"/>
    </w:pPr>
  </w:style>
  <w:style w:type="paragraph" w:styleId="6">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eastAsia="宋体" w:cs="宋体"/>
      <w:sz w:val="24"/>
      <w:szCs w:val="24"/>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Office_10.8.2.6949_F1E327BC-269C-435d-A152-05C5408002CA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2019-10-08T06:48:00Z</dcterms:created>
  <dc:creator>邓教授</dc:creator>
  <cp:lastModifiedBy>邓教授</cp:lastModifiedBy>
  <dcterms:modified xsi:type="dcterms:W3CDTF">2019-12-16T08:13:24Z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2052-10.8.2.6949</vt:lpwstr>
  </property>
</Properties>
</file>