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/>
        <w:ind w:left="1360" w:right="1255" w:firstLine="0"/>
        <w:jc w:val="center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20</w:t>
      </w:r>
      <w:r>
        <w:rPr>
          <w:rFonts w:hint="eastAsia" w:cs="仿宋"/>
          <w:b/>
          <w:sz w:val="36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36"/>
        </w:rPr>
        <w:t xml:space="preserve"> 级高职</w:t>
      </w:r>
      <w:r>
        <w:rPr>
          <w:rFonts w:hint="eastAsia" w:ascii="仿宋" w:hAnsi="仿宋" w:eastAsia="仿宋" w:cs="仿宋"/>
          <w:b/>
          <w:sz w:val="36"/>
          <w:lang w:eastAsia="zh-CN"/>
        </w:rPr>
        <w:t>金融管理</w:t>
      </w:r>
      <w:r>
        <w:rPr>
          <w:rFonts w:hint="eastAsia" w:ascii="仿宋" w:hAnsi="仿宋" w:eastAsia="仿宋" w:cs="仿宋"/>
          <w:b/>
          <w:sz w:val="36"/>
        </w:rPr>
        <w:t>专业人才培养方案</w:t>
      </w:r>
    </w:p>
    <w:p>
      <w:pPr>
        <w:pStyle w:val="2"/>
        <w:spacing w:before="126"/>
        <w:ind w:left="1604" w:right="1255"/>
        <w:jc w:val="center"/>
        <w:rPr>
          <w:rFonts w:hint="eastAsia" w:ascii="仿宋" w:hAnsi="仿宋" w:eastAsia="仿宋" w:cs="仿宋"/>
        </w:rPr>
      </w:pPr>
    </w:p>
    <w:p>
      <w:pPr>
        <w:spacing w:before="0"/>
        <w:ind w:left="602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w w:val="99"/>
          <w:sz w:val="24"/>
        </w:rPr>
        <w:t>一、专业信息</w:t>
      </w:r>
    </w:p>
    <w:p>
      <w:pPr>
        <w:tabs>
          <w:tab w:val="left" w:pos="6727"/>
        </w:tabs>
        <w:spacing w:before="159"/>
        <w:ind w:left="844" w:right="0" w:firstLine="0"/>
        <w:jc w:val="left"/>
        <w:rPr>
          <w:rFonts w:hint="eastAsia" w:ascii="仿宋" w:hAnsi="仿宋" w:eastAsia="仿宋" w:cs="仿宋"/>
          <w:b/>
          <w:sz w:val="21"/>
        </w:rPr>
      </w:pPr>
      <w:r>
        <w:rPr>
          <w:rFonts w:hint="eastAsia" w:ascii="仿宋" w:hAnsi="仿宋" w:eastAsia="仿宋" w:cs="仿宋"/>
          <w:b/>
          <w:sz w:val="21"/>
        </w:rPr>
        <w:t>专业名称：</w:t>
      </w:r>
      <w:r>
        <w:rPr>
          <w:rFonts w:hint="eastAsia" w:ascii="仿宋" w:hAnsi="仿宋" w:eastAsia="仿宋" w:cs="仿宋"/>
          <w:b/>
          <w:sz w:val="21"/>
          <w:lang w:eastAsia="zh-CN"/>
        </w:rPr>
        <w:t>金融管理</w:t>
      </w:r>
      <w:r>
        <w:rPr>
          <w:rFonts w:hint="eastAsia" w:ascii="仿宋" w:hAnsi="仿宋" w:eastAsia="仿宋" w:cs="仿宋"/>
          <w:b/>
          <w:sz w:val="21"/>
        </w:rPr>
        <w:tab/>
      </w:r>
      <w:r>
        <w:rPr>
          <w:rFonts w:hint="eastAsia" w:ascii="仿宋" w:hAnsi="仿宋" w:eastAsia="仿宋" w:cs="仿宋"/>
          <w:b/>
          <w:sz w:val="21"/>
        </w:rPr>
        <w:t>专业代码：</w:t>
      </w:r>
      <w:r>
        <w:rPr>
          <w:rFonts w:hint="eastAsia" w:ascii="仿宋" w:hAnsi="仿宋" w:eastAsia="仿宋" w:cs="仿宋"/>
          <w:b/>
          <w:bCs/>
          <w:szCs w:val="21"/>
        </w:rPr>
        <w:t>630201</w:t>
      </w:r>
    </w:p>
    <w:p>
      <w:pPr>
        <w:spacing w:before="159"/>
        <w:ind w:left="844" w:right="0" w:firstLine="0"/>
        <w:jc w:val="left"/>
        <w:rPr>
          <w:rFonts w:hint="eastAsia" w:ascii="仿宋" w:hAnsi="仿宋" w:eastAsia="仿宋" w:cs="仿宋"/>
          <w:b w:val="0"/>
          <w:bCs/>
          <w:sz w:val="21"/>
          <w:lang w:eastAsia="zh-CN"/>
        </w:rPr>
      </w:pPr>
      <w:r>
        <w:rPr>
          <w:rFonts w:hint="eastAsia" w:ascii="仿宋" w:hAnsi="仿宋" w:eastAsia="仿宋" w:cs="仿宋"/>
          <w:b/>
          <w:sz w:val="21"/>
        </w:rPr>
        <w:t>专业定位与特色：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定位：</w:t>
      </w:r>
      <w:r>
        <w:rPr>
          <w:rFonts w:hint="eastAsia" w:ascii="仿宋" w:hAnsi="仿宋" w:eastAsia="仿宋" w:cs="仿宋"/>
          <w:b w:val="0"/>
          <w:bCs/>
          <w:sz w:val="21"/>
        </w:rPr>
        <w:t>能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胜任</w:t>
      </w:r>
      <w:r>
        <w:rPr>
          <w:rFonts w:hint="eastAsia" w:ascii="仿宋" w:hAnsi="仿宋" w:eastAsia="仿宋" w:cs="仿宋"/>
          <w:b w:val="0"/>
          <w:bCs/>
          <w:sz w:val="21"/>
        </w:rPr>
        <w:t>商业银行、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证券公司</w:t>
      </w:r>
      <w:r>
        <w:rPr>
          <w:rFonts w:hint="eastAsia" w:ascii="仿宋" w:hAnsi="仿宋" w:eastAsia="仿宋" w:cs="仿宋"/>
          <w:b w:val="0"/>
          <w:bCs/>
          <w:sz w:val="21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基金公司、</w:t>
      </w:r>
      <w:r>
        <w:rPr>
          <w:rFonts w:hint="eastAsia" w:ascii="仿宋" w:hAnsi="仿宋" w:eastAsia="仿宋" w:cs="仿宋"/>
          <w:b w:val="0"/>
          <w:bCs/>
          <w:sz w:val="21"/>
        </w:rPr>
        <w:t>信托公司、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信用评估机构、</w:t>
      </w:r>
      <w:r>
        <w:rPr>
          <w:rFonts w:hint="eastAsia" w:ascii="仿宋" w:hAnsi="仿宋" w:eastAsia="仿宋" w:cs="仿宋"/>
          <w:b w:val="0"/>
          <w:bCs/>
          <w:sz w:val="21"/>
        </w:rPr>
        <w:t>担保公司等各类经营性金融中介机构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相关</w:t>
      </w:r>
      <w:r>
        <w:rPr>
          <w:rFonts w:hint="eastAsia" w:ascii="仿宋" w:hAnsi="仿宋" w:eastAsia="仿宋" w:cs="仿宋"/>
          <w:b w:val="0"/>
          <w:bCs/>
          <w:sz w:val="21"/>
        </w:rPr>
        <w:t>金融工作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21"/>
        </w:rPr>
        <w:t>的现代应用型人才。</w:t>
      </w:r>
      <w:r>
        <w:rPr>
          <w:rFonts w:hint="eastAsia" w:ascii="仿宋" w:hAnsi="仿宋" w:eastAsia="仿宋" w:cs="仿宋"/>
          <w:b w:val="0"/>
          <w:bCs/>
          <w:sz w:val="21"/>
          <w:lang w:eastAsia="zh-CN"/>
        </w:rPr>
        <w:t>特色：金融及投资基本理论和技能，特别注重学生实战技能的培养。</w:t>
      </w:r>
    </w:p>
    <w:p>
      <w:pPr>
        <w:pStyle w:val="3"/>
        <w:spacing w:before="3"/>
        <w:rPr>
          <w:rFonts w:hint="eastAsia" w:ascii="仿宋" w:hAnsi="仿宋" w:eastAsia="仿宋" w:cs="仿宋"/>
          <w:b/>
          <w:sz w:val="19"/>
        </w:rPr>
      </w:pPr>
    </w:p>
    <w:p>
      <w:pPr>
        <w:spacing w:before="1"/>
        <w:ind w:left="592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二、学制与学历</w:t>
      </w:r>
    </w:p>
    <w:p>
      <w:pPr>
        <w:pStyle w:val="3"/>
        <w:spacing w:before="3"/>
        <w:ind w:left="91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学制：学年学分制，基本学制3年（实行弹性学分制），最长修业年限5年；学历：专科。</w:t>
      </w:r>
    </w:p>
    <w:p>
      <w:pPr>
        <w:pStyle w:val="2"/>
        <w:spacing w:before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三、招生对象</w:t>
      </w:r>
    </w:p>
    <w:p>
      <w:pPr>
        <w:pStyle w:val="3"/>
        <w:spacing w:before="3"/>
        <w:ind w:left="84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普通高中毕业生、中职（专）毕业生和职高毕业生。</w:t>
      </w:r>
    </w:p>
    <w:p>
      <w:pPr>
        <w:pStyle w:val="2"/>
        <w:spacing w:before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四、从事职业和岗位（群）</w:t>
      </w:r>
    </w:p>
    <w:p>
      <w:pPr>
        <w:spacing w:before="4" w:after="3"/>
        <w:ind w:left="1365" w:right="1255" w:firstLine="0"/>
        <w:jc w:val="center"/>
        <w:rPr>
          <w:rFonts w:hint="eastAsia" w:ascii="仿宋" w:hAnsi="仿宋" w:eastAsia="仿宋" w:cs="仿宋"/>
          <w:b/>
          <w:sz w:val="21"/>
        </w:rPr>
      </w:pPr>
      <w:r>
        <w:rPr>
          <w:rFonts w:hint="eastAsia" w:ascii="仿宋" w:hAnsi="仿宋" w:eastAsia="仿宋" w:cs="仿宋"/>
          <w:b/>
          <w:sz w:val="21"/>
        </w:rPr>
        <w:t>从事职业及主要工作岗位（群）</w:t>
      </w:r>
    </w:p>
    <w:tbl>
      <w:tblPr>
        <w:tblStyle w:val="5"/>
        <w:tblW w:w="9132" w:type="dxa"/>
        <w:tblInd w:w="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837"/>
        <w:gridCol w:w="1695"/>
        <w:gridCol w:w="2556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41" w:type="dxa"/>
            <w:vMerge w:val="restart"/>
          </w:tcPr>
          <w:p>
            <w:pPr>
              <w:pStyle w:val="9"/>
              <w:spacing w:before="56" w:line="244" w:lineRule="auto"/>
              <w:ind w:left="165" w:right="15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837" w:type="dxa"/>
            <w:vMerge w:val="restart"/>
          </w:tcPr>
          <w:p>
            <w:pPr>
              <w:pStyle w:val="9"/>
              <w:spacing w:before="1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>
            <w:pPr>
              <w:pStyle w:val="9"/>
              <w:ind w:left="27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从事职业</w:t>
            </w:r>
          </w:p>
        </w:tc>
        <w:tc>
          <w:tcPr>
            <w:tcW w:w="4251" w:type="dxa"/>
            <w:gridSpan w:val="2"/>
          </w:tcPr>
          <w:p>
            <w:pPr>
              <w:pStyle w:val="9"/>
              <w:spacing w:before="49"/>
              <w:ind w:right="26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1503" w:type="dxa"/>
            <w:vMerge w:val="restart"/>
          </w:tcPr>
          <w:p>
            <w:pPr>
              <w:pStyle w:val="9"/>
              <w:spacing w:before="56" w:line="244" w:lineRule="auto"/>
              <w:ind w:left="331" w:right="112" w:hanging="2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职业岗位升迁平均时间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4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5" w:type="dxa"/>
          </w:tcPr>
          <w:p>
            <w:pPr>
              <w:pStyle w:val="9"/>
              <w:spacing w:before="3" w:line="254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初始职业岗位</w:t>
            </w:r>
          </w:p>
        </w:tc>
        <w:tc>
          <w:tcPr>
            <w:tcW w:w="2556" w:type="dxa"/>
          </w:tcPr>
          <w:p>
            <w:pPr>
              <w:pStyle w:val="9"/>
              <w:spacing w:before="3" w:line="254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发展职业岗位</w:t>
            </w:r>
          </w:p>
        </w:tc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1" w:type="dxa"/>
          </w:tcPr>
          <w:p>
            <w:pPr>
              <w:pStyle w:val="9"/>
              <w:spacing w:before="100"/>
              <w:ind w:left="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>1</w:t>
            </w:r>
          </w:p>
        </w:tc>
        <w:tc>
          <w:tcPr>
            <w:tcW w:w="2837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在证券、期货、保险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、基金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等金融机构从事投资理财等岗位</w:t>
            </w:r>
          </w:p>
        </w:tc>
        <w:tc>
          <w:tcPr>
            <w:tcW w:w="1695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交易员/客户经理</w:t>
            </w:r>
          </w:p>
        </w:tc>
        <w:tc>
          <w:tcPr>
            <w:tcW w:w="2556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证券分析师/理财顾问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/自营业务/资产管理业务经理等</w:t>
            </w:r>
          </w:p>
        </w:tc>
        <w:tc>
          <w:tcPr>
            <w:tcW w:w="1503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Style w:val="9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2-3年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1" w:type="dxa"/>
          </w:tcPr>
          <w:p>
            <w:pPr>
              <w:pStyle w:val="9"/>
              <w:spacing w:before="96"/>
              <w:ind w:left="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>2</w:t>
            </w:r>
          </w:p>
        </w:tc>
        <w:tc>
          <w:tcPr>
            <w:tcW w:w="2837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在银行、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证券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公司等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金融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机构从事信贷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、融资融券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管理工作</w:t>
            </w:r>
          </w:p>
        </w:tc>
        <w:tc>
          <w:tcPr>
            <w:tcW w:w="1695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业务员/客服/销售员</w:t>
            </w:r>
          </w:p>
        </w:tc>
        <w:tc>
          <w:tcPr>
            <w:tcW w:w="2556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业务骨干/管理骨干</w:t>
            </w:r>
          </w:p>
        </w:tc>
        <w:tc>
          <w:tcPr>
            <w:tcW w:w="1503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9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2-3年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41" w:type="dxa"/>
          </w:tcPr>
          <w:p>
            <w:pPr>
              <w:pStyle w:val="9"/>
              <w:spacing w:before="177"/>
              <w:ind w:left="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>3</w:t>
            </w:r>
          </w:p>
        </w:tc>
        <w:tc>
          <w:tcPr>
            <w:tcW w:w="2837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在非金融机构从事会计、财务等工作</w:t>
            </w:r>
          </w:p>
        </w:tc>
        <w:tc>
          <w:tcPr>
            <w:tcW w:w="1695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出纳/会计/财务助理</w:t>
            </w:r>
          </w:p>
        </w:tc>
        <w:tc>
          <w:tcPr>
            <w:tcW w:w="255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财务主管/会计师</w:t>
            </w:r>
          </w:p>
        </w:tc>
        <w:tc>
          <w:tcPr>
            <w:tcW w:w="1503" w:type="dxa"/>
          </w:tcPr>
          <w:p>
            <w:pPr>
              <w:pStyle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3-5年</w:t>
            </w:r>
          </w:p>
        </w:tc>
      </w:tr>
    </w:tbl>
    <w:p>
      <w:pPr>
        <w:spacing w:before="1"/>
        <w:ind w:left="592" w:right="0" w:firstLine="0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pStyle w:val="3"/>
        <w:spacing w:before="3"/>
        <w:ind w:left="60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>五、培养目标</w:t>
      </w:r>
    </w:p>
    <w:p>
      <w:pPr>
        <w:pStyle w:val="3"/>
        <w:spacing w:line="267" w:lineRule="exact"/>
        <w:ind w:left="602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本专业培养德智体美全面发展，能够掌握金融管理</w:t>
      </w:r>
      <w:r>
        <w:rPr>
          <w:rFonts w:hint="eastAsia" w:ascii="仿宋" w:hAnsi="仿宋" w:eastAsia="仿宋" w:cs="仿宋"/>
          <w:color w:val="auto"/>
          <w:lang w:eastAsia="zh-CN"/>
        </w:rPr>
        <w:t>、投融资</w:t>
      </w:r>
      <w:r>
        <w:rPr>
          <w:rFonts w:hint="eastAsia" w:ascii="仿宋" w:hAnsi="仿宋" w:eastAsia="仿宋" w:cs="仿宋"/>
          <w:color w:val="auto"/>
        </w:rPr>
        <w:t>的基础知识和基本技能，熟练掌握现代金融、证券、期货、理财等基本理论和实务操作，能够服务于证券、银行、期货、保险等金融行业，具备企业管理、证券投资与销售</w:t>
      </w:r>
      <w:r>
        <w:rPr>
          <w:rFonts w:hint="eastAsia" w:ascii="仿宋" w:hAnsi="仿宋" w:eastAsia="仿宋" w:cs="仿宋"/>
          <w:color w:val="auto"/>
          <w:lang w:eastAsia="zh-CN"/>
        </w:rPr>
        <w:t>（包括证券自营、资产管理业务、融资融券等）</w:t>
      </w:r>
      <w:r>
        <w:rPr>
          <w:rFonts w:hint="eastAsia" w:ascii="仿宋" w:hAnsi="仿宋" w:eastAsia="仿宋" w:cs="仿宋"/>
          <w:color w:val="auto"/>
        </w:rPr>
        <w:t>、理财咨询与规划、财务分析等技能的发展型、复合型、创新型的高素质技能人才。</w:t>
      </w:r>
    </w:p>
    <w:p>
      <w:pPr>
        <w:pStyle w:val="2"/>
        <w:ind w:left="60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六、培养规格</w:t>
      </w:r>
    </w:p>
    <w:tbl>
      <w:tblPr>
        <w:tblStyle w:val="5"/>
        <w:tblW w:w="9348" w:type="dxa"/>
        <w:tblInd w:w="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348" w:type="dxa"/>
            <w:gridSpan w:val="2"/>
          </w:tcPr>
          <w:p>
            <w:pPr>
              <w:pStyle w:val="9"/>
              <w:spacing w:before="1" w:line="251" w:lineRule="exact"/>
              <w:ind w:left="4022" w:right="401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培养规格要求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8" w:type="dxa"/>
          </w:tcPr>
          <w:p>
            <w:pPr>
              <w:pStyle w:val="9"/>
              <w:spacing w:before="1" w:line="270" w:lineRule="atLeast"/>
              <w:ind w:left="158" w:right="1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能力要求</w:t>
            </w:r>
          </w:p>
        </w:tc>
        <w:tc>
          <w:tcPr>
            <w:tcW w:w="8610" w:type="dxa"/>
          </w:tcPr>
          <w:p>
            <w:pPr>
              <w:pStyle w:val="9"/>
              <w:spacing w:before="1" w:line="270" w:lineRule="atLeast"/>
              <w:ind w:right="93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1.良好的沟通协调能力，较强的语言表达能力；</w:t>
            </w:r>
          </w:p>
          <w:p>
            <w:pPr>
              <w:pStyle w:val="9"/>
              <w:spacing w:before="1" w:line="270" w:lineRule="atLeast"/>
              <w:ind w:right="93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2.较好的分析、判断和概括能力，较强的逻辑思维能力；</w:t>
            </w:r>
          </w:p>
          <w:p>
            <w:pPr>
              <w:pStyle w:val="9"/>
              <w:spacing w:before="1" w:line="270" w:lineRule="atLeast"/>
              <w:ind w:right="93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3.证券市场、基金市场交易与分析能力；</w:t>
            </w:r>
          </w:p>
          <w:p>
            <w:pPr>
              <w:pStyle w:val="9"/>
              <w:spacing w:before="1" w:line="270" w:lineRule="atLeast"/>
              <w:ind w:right="93"/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4.理财产品的选择、理财方案的规划能力；</w:t>
            </w:r>
          </w:p>
          <w:p>
            <w:pPr>
              <w:pStyle w:val="9"/>
              <w:spacing w:before="1" w:line="270" w:lineRule="atLeast"/>
              <w:ind w:right="9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1"/>
                <w:szCs w:val="21"/>
              </w:rPr>
              <w:t>5.保险营销及业务处理能力；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8" w:type="dxa"/>
          </w:tcPr>
          <w:p>
            <w:pPr>
              <w:pStyle w:val="9"/>
              <w:spacing w:line="268" w:lineRule="exact"/>
              <w:ind w:left="15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素质</w:t>
            </w:r>
          </w:p>
          <w:p>
            <w:pPr>
              <w:pStyle w:val="9"/>
              <w:spacing w:before="4" w:line="251" w:lineRule="exact"/>
              <w:ind w:left="15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要求</w:t>
            </w:r>
          </w:p>
        </w:tc>
        <w:tc>
          <w:tcPr>
            <w:tcW w:w="8610" w:type="dxa"/>
          </w:tcPr>
          <w:p>
            <w:pPr>
              <w:tabs>
                <w:tab w:val="left" w:pos="720"/>
              </w:tabs>
              <w:autoSpaceDE w:val="0"/>
              <w:autoSpaceDN w:val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1.热爱社会主义祖国，拥护党的基本路线；</w:t>
            </w:r>
          </w:p>
          <w:p>
            <w:pPr>
              <w:tabs>
                <w:tab w:val="left" w:pos="720"/>
              </w:tabs>
              <w:autoSpaceDE w:val="0"/>
              <w:autoSpaceDN w:val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2.树立科学的世界观、人生观、价值观；</w:t>
            </w:r>
          </w:p>
          <w:p>
            <w:pPr>
              <w:tabs>
                <w:tab w:val="left" w:pos="720"/>
              </w:tabs>
              <w:autoSpaceDE w:val="0"/>
              <w:autoSpaceDN w:val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3.讲诚信，遵守法律及道德规范；</w:t>
            </w:r>
          </w:p>
          <w:p>
            <w:pPr>
              <w:tabs>
                <w:tab w:val="left" w:pos="720"/>
              </w:tabs>
              <w:autoSpaceDE w:val="0"/>
              <w:autoSpaceDN w:val="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4.具有正确的职业态度和动机，树立良好的职业道德意识；</w:t>
            </w:r>
          </w:p>
          <w:p>
            <w:pPr>
              <w:pStyle w:val="9"/>
              <w:spacing w:before="4" w:line="25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5.具有团队合作精神。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8" w:type="dxa"/>
          </w:tcPr>
          <w:p>
            <w:pPr>
              <w:pStyle w:val="9"/>
              <w:spacing w:before="76" w:line="244" w:lineRule="auto"/>
              <w:ind w:left="158" w:right="1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知识要求</w:t>
            </w:r>
          </w:p>
        </w:tc>
        <w:tc>
          <w:tcPr>
            <w:tcW w:w="8610" w:type="dxa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1.掌握社会主义基础理论；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2.掌握数学、英语和计算机等通用知识；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3.掌握经济基础知识、统计基础知识和会计基础知识；</w:t>
            </w:r>
          </w:p>
          <w:p>
            <w:pPr>
              <w:pStyle w:val="9"/>
              <w:spacing w:before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4.掌握证券市场、基金市场交易与分析，保险理财与营销，商业银行基本业务，国际金融业务，财务管理等专业知识。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38" w:type="dxa"/>
          </w:tcPr>
          <w:p>
            <w:pPr>
              <w:pStyle w:val="9"/>
              <w:ind w:left="15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职业</w:t>
            </w:r>
          </w:p>
          <w:p>
            <w:pPr>
              <w:pStyle w:val="9"/>
              <w:spacing w:before="4" w:line="270" w:lineRule="atLeast"/>
              <w:ind w:left="158" w:right="1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证书</w:t>
            </w:r>
            <w:r>
              <w:rPr>
                <w:rFonts w:hint="eastAsia" w:ascii="仿宋" w:hAnsi="仿宋" w:eastAsia="仿宋" w:cs="仿宋"/>
                <w:spacing w:val="-9"/>
                <w:w w:val="95"/>
                <w:sz w:val="21"/>
                <w:szCs w:val="21"/>
              </w:rPr>
              <w:t>要求</w:t>
            </w:r>
          </w:p>
        </w:tc>
        <w:tc>
          <w:tcPr>
            <w:tcW w:w="8610" w:type="dxa"/>
          </w:tcPr>
          <w:p>
            <w:pPr>
              <w:tabs>
                <w:tab w:val="left" w:pos="720"/>
              </w:tabs>
              <w:autoSpaceDE w:val="0"/>
              <w:autoSpaceDN w:val="0"/>
              <w:ind w:left="-46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必考证书：证券从业资格证书</w:t>
            </w:r>
          </w:p>
          <w:p>
            <w:pPr>
              <w:pStyle w:val="9"/>
              <w:spacing w:before="2" w:line="252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选考证书：基金从业资格证书、期货从业资格证书、初级经济师、助理金融分析师</w:t>
            </w:r>
          </w:p>
        </w:tc>
      </w:tr>
    </w:tbl>
    <w:p>
      <w:pPr>
        <w:spacing w:after="0" w:line="252" w:lineRule="exact"/>
        <w:rPr>
          <w:rFonts w:hint="eastAsia" w:ascii="仿宋" w:hAnsi="仿宋" w:eastAsia="仿宋" w:cs="仿宋"/>
          <w:sz w:val="21"/>
        </w:rPr>
        <w:sectPr>
          <w:type w:val="continuous"/>
          <w:pgSz w:w="11910" w:h="16840"/>
          <w:pgMar w:top="1580" w:right="1000" w:bottom="280" w:left="900" w:header="720" w:footer="720" w:gutter="0"/>
        </w:sectPr>
      </w:pPr>
    </w:p>
    <w:p>
      <w:pPr>
        <w:spacing w:before="38"/>
        <w:ind w:left="602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七、就业岗位、职业岗位能力分析及支撑课程</w:t>
      </w:r>
    </w:p>
    <w:p>
      <w:pPr>
        <w:pStyle w:val="3"/>
        <w:spacing w:before="3"/>
        <w:rPr>
          <w:rFonts w:hint="eastAsia" w:ascii="仿宋" w:hAnsi="仿宋" w:eastAsia="仿宋" w:cs="仿宋"/>
          <w:b/>
          <w:sz w:val="12"/>
        </w:rPr>
      </w:pPr>
    </w:p>
    <w:tbl>
      <w:tblPr>
        <w:tblStyle w:val="5"/>
        <w:tblW w:w="9735" w:type="dxa"/>
        <w:tblInd w:w="2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826"/>
        <w:gridCol w:w="2197"/>
        <w:gridCol w:w="2535"/>
        <w:gridCol w:w="2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7" w:type="dxa"/>
            <w:tcBorders>
              <w:right w:val="single" w:color="000000" w:sz="4" w:space="0"/>
            </w:tcBorders>
          </w:tcPr>
          <w:p>
            <w:pPr>
              <w:pStyle w:val="9"/>
              <w:spacing w:before="1"/>
              <w:ind w:left="117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w w:val="95"/>
                <w:sz w:val="21"/>
              </w:rPr>
              <w:t>专业</w:t>
            </w:r>
          </w:p>
          <w:p>
            <w:pPr>
              <w:pStyle w:val="9"/>
              <w:spacing w:before="3" w:line="252" w:lineRule="exact"/>
              <w:ind w:left="117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pacing w:val="-1"/>
                <w:w w:val="95"/>
                <w:sz w:val="21"/>
              </w:rPr>
              <w:t>面向</w:t>
            </w:r>
          </w:p>
        </w:tc>
        <w:tc>
          <w:tcPr>
            <w:tcW w:w="182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6"/>
              <w:ind w:left="180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职业岗位（群）</w:t>
            </w:r>
          </w:p>
        </w:tc>
        <w:tc>
          <w:tcPr>
            <w:tcW w:w="219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6"/>
              <w:ind w:left="877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工作任务</w:t>
            </w:r>
          </w:p>
        </w:tc>
        <w:tc>
          <w:tcPr>
            <w:tcW w:w="25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6"/>
              <w:ind w:left="661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职业岗位能力</w:t>
            </w:r>
          </w:p>
        </w:tc>
        <w:tc>
          <w:tcPr>
            <w:tcW w:w="2520" w:type="dxa"/>
            <w:tcBorders>
              <w:left w:val="single" w:color="000000" w:sz="4" w:space="0"/>
            </w:tcBorders>
          </w:tcPr>
          <w:p>
            <w:pPr>
              <w:pStyle w:val="9"/>
              <w:spacing w:before="136"/>
              <w:ind w:left="591"/>
              <w:rPr>
                <w:rFonts w:hint="eastAsia"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支撑课程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57" w:type="dxa"/>
            <w:vMerge w:val="restart"/>
            <w:tcBorders>
              <w:right w:val="single" w:color="000000" w:sz="4" w:space="0"/>
            </w:tcBorders>
          </w:tcPr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金融管理</w:t>
            </w:r>
          </w:p>
        </w:tc>
        <w:tc>
          <w:tcPr>
            <w:tcW w:w="1826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right="0" w:rightChars="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1.证券、期货、投资客户经理</w:t>
            </w:r>
          </w:p>
        </w:tc>
        <w:tc>
          <w:tcPr>
            <w:tcW w:w="2197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1.代理客户开户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2.证券代理发行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3.证券代理交易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4.证券产品销售</w:t>
            </w:r>
          </w:p>
        </w:tc>
        <w:tc>
          <w:tcPr>
            <w:tcW w:w="2535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1.柜台业务处理能力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2.证券投资分析能力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3.金融营销能力</w:t>
            </w:r>
          </w:p>
        </w:tc>
        <w:tc>
          <w:tcPr>
            <w:tcW w:w="2520" w:type="dxa"/>
            <w:tcBorders>
              <w:left w:val="single" w:color="000000" w:sz="4" w:space="0"/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1.金融市场基础知识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2.证券投资分析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3.金融营销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57" w:type="dxa"/>
            <w:vMerge w:val="continue"/>
            <w:tcBorders>
              <w:right w:val="single" w:color="000000" w:sz="4" w:space="0"/>
            </w:tcBorders>
          </w:tcPr>
          <w:p>
            <w:pPr>
              <w:pStyle w:val="9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826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2.银行、险理财经理</w:t>
            </w:r>
          </w:p>
        </w:tc>
        <w:tc>
          <w:tcPr>
            <w:tcW w:w="2197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1.理财产品销售 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2.外汇交易与结算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3.个人理财规划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4.银行柜台业务</w:t>
            </w:r>
          </w:p>
        </w:tc>
        <w:tc>
          <w:tcPr>
            <w:tcW w:w="2535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1.柜台业务处理能力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2.理财推荐及规划能力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3.外汇交易与结算能力</w:t>
            </w:r>
          </w:p>
        </w:tc>
        <w:tc>
          <w:tcPr>
            <w:tcW w:w="2520" w:type="dxa"/>
            <w:tcBorders>
              <w:left w:val="single" w:color="000000" w:sz="4" w:space="0"/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1.商业银行综合柜台业务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2.证券投资基金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</w:rPr>
              <w:t>3.国际金融实务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57" w:type="dxa"/>
            <w:vMerge w:val="continue"/>
            <w:tcBorders>
              <w:right w:val="single" w:color="000000" w:sz="4" w:space="0"/>
            </w:tcBorders>
          </w:tcPr>
          <w:p>
            <w:pPr>
              <w:pStyle w:val="9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8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3.企业会计、财务人员</w:t>
            </w:r>
          </w:p>
        </w:tc>
        <w:tc>
          <w:tcPr>
            <w:tcW w:w="219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1.记账与账务处理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2.财务报表制作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3.财务报表分析</w:t>
            </w:r>
          </w:p>
        </w:tc>
        <w:tc>
          <w:tcPr>
            <w:tcW w:w="253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1.会计处理能力</w:t>
            </w:r>
          </w:p>
          <w:p>
            <w:pPr>
              <w:ind w:left="0" w:leftChars="0" w:right="0" w:rightChars="0" w:firstLine="220" w:firstLineChars="10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2.财务分析能力</w:t>
            </w:r>
          </w:p>
        </w:tc>
        <w:tc>
          <w:tcPr>
            <w:tcW w:w="2520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1.基础会计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2.统计学基础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3.财务管理</w:t>
            </w:r>
          </w:p>
        </w:tc>
      </w:tr>
    </w:tbl>
    <w:p>
      <w:pPr>
        <w:spacing w:before="158"/>
        <w:ind w:left="602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八、课程体系与核心课程</w:t>
      </w:r>
    </w:p>
    <w:p>
      <w:pPr>
        <w:spacing w:before="160"/>
        <w:ind w:left="602" w:right="0" w:firstLine="0"/>
        <w:jc w:val="left"/>
        <w:rPr>
          <w:rFonts w:hint="eastAsia" w:ascii="仿宋" w:hAnsi="仿宋" w:eastAsia="仿宋" w:cs="仿宋"/>
          <w:b/>
          <w:sz w:val="21"/>
        </w:rPr>
      </w:pPr>
      <w:r>
        <w:rPr>
          <w:rFonts w:hint="eastAsia" w:ascii="仿宋" w:hAnsi="仿宋" w:eastAsia="仿宋" w:cs="仿宋"/>
          <w:b/>
          <w:sz w:val="21"/>
        </w:rPr>
        <w:t>（一）课程体系的架构与说明</w:t>
      </w:r>
    </w:p>
    <w:p>
      <w:pPr>
        <w:pStyle w:val="3"/>
        <w:rPr>
          <w:rFonts w:hint="eastAsia" w:ascii="仿宋" w:hAnsi="仿宋" w:eastAsia="仿宋" w:cs="仿宋"/>
          <w:b/>
          <w:sz w:val="20"/>
        </w:rPr>
      </w:pPr>
    </w:p>
    <w:p>
      <w:pPr>
        <w:pStyle w:val="3"/>
        <w:rPr>
          <w:rFonts w:hint="eastAsia" w:ascii="仿宋" w:hAnsi="仿宋" w:eastAsia="仿宋" w:cs="仿宋"/>
          <w:b/>
          <w:sz w:val="20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6146800" cy="33655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" w:hAnsi="仿宋" w:eastAsia="仿宋" w:cs="仿宋"/>
          <w:b/>
          <w:sz w:val="20"/>
        </w:rPr>
      </w:pPr>
    </w:p>
    <w:p>
      <w:pPr>
        <w:pStyle w:val="3"/>
        <w:spacing w:before="10"/>
        <w:rPr>
          <w:rFonts w:hint="eastAsia" w:ascii="仿宋" w:hAnsi="仿宋" w:eastAsia="仿宋" w:cs="仿宋"/>
          <w:b/>
          <w:sz w:val="19"/>
        </w:rPr>
      </w:pPr>
    </w:p>
    <w:p>
      <w:pPr>
        <w:tabs>
          <w:tab w:val="left" w:pos="720"/>
        </w:tabs>
        <w:autoSpaceDE w:val="0"/>
        <w:autoSpaceDN w:val="0"/>
        <w:spacing w:before="156" w:after="156"/>
        <w:ind w:left="482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1"/>
        </w:rPr>
        <w:t>（二）</w:t>
      </w:r>
      <w:r>
        <w:rPr>
          <w:rFonts w:hint="eastAsia" w:ascii="仿宋" w:hAnsi="仿宋" w:eastAsia="仿宋" w:cs="仿宋"/>
          <w:b/>
          <w:szCs w:val="21"/>
        </w:rPr>
        <w:t>核心课程简介</w:t>
      </w:r>
    </w:p>
    <w:tbl>
      <w:tblPr>
        <w:tblStyle w:val="5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24"/>
        <w:gridCol w:w="2977"/>
        <w:gridCol w:w="2551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ind w:left="316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课程主要内容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课程能力目标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证券投资分析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1.综合柜台业务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2.看盘和操盘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3.证券投资分析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4.证券衍生品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5.证券投资风险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掌握证券柜台业务基本流程，熟悉证券公司业务，掌握证券交易、分析技能，能为客户提供专业性服务。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互联网金融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1.互联网金融产品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2.互联网金融六大模式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3.互联网金融发展趋势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4.互联网金融风险与防范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掌握互联网金融概念，熟悉P2P、第三方支付、众筹等互联网金融产品运作模式。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国际金融实务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1.外汇市场与外汇交易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2.外汇风险及其控制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3.国际收支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4.国际储备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5.国际金融市场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掌握外汇基本知识，能进行汇率折算及外汇交易，能够规避国际结算环节潜在的外汇风险。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商业银行基本业务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1.银行柜员基本职业能力训练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2.银行个人业务处理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3.银行其他业务处理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4.银行网点突发事件应急处理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5.金融综合技能业务训练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掌握柜台业务流程与操作规范，掌握个人业务的操作处理，掌握点钞技术和假币鉴别技术等金融综合技能。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证券投资基金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1.基金基础必要知识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2.基金监管与职业道德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3.基金投资管理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4.基金的运作管理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5.基金的销售管理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6.基金管理人的合规管理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掌握基金的基本知识，熟悉基金的管理运作、投资运作等流程，掌握基金的销售技能。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保险理论与实务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1.保险产品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2.保险的基本原则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3.保险合同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4.人身保险实务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5.财产保险实务</w:t>
            </w:r>
          </w:p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6.保险的经营管理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掌握保险市场、保险产品等专业知识并进行营销；熟悉投保理赔的业务流程；能够代理保险公司展业等。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</w:tr>
    </w:tbl>
    <w:p>
      <w:pPr>
        <w:spacing w:before="38"/>
        <w:ind w:right="0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tabs>
          <w:tab w:val="left" w:pos="720"/>
        </w:tabs>
        <w:autoSpaceDE w:val="0"/>
        <w:autoSpaceDN w:val="0"/>
        <w:spacing w:before="156" w:after="156"/>
        <w:ind w:left="482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九、主要实践环节教学目标与安排</w:t>
      </w:r>
    </w:p>
    <w:tbl>
      <w:tblPr>
        <w:tblStyle w:val="5"/>
        <w:tblW w:w="963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43"/>
        <w:gridCol w:w="1791"/>
        <w:gridCol w:w="3402"/>
        <w:gridCol w:w="1417"/>
        <w:gridCol w:w="15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实践环节名称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实践内容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教学安排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实践教学目标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第2学期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会计账务处理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原始凭证审核、记账凭证登记、总账和明细账登记、会计报表编制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掌握企业账务、报表处理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第2学期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数据统计与分析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样本数据处理、回归分析、常见统计公式应用等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掌握数据处理与分析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第3学期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证券交易与投资分析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操作证券账户开户业务、指定交易的申请和撤销业务、基本面分析、技术分析等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72学时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掌握证券交易与投资分析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第3学期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互联网金融模式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第三方支付、P2P网贷、众筹、金融电商等业务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掌握互联网金融主要模式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第4学期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期货套期保值与投资分析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期货交易方法分析、期货价格技术分析、套期保值、投机和套利交易、综合模拟交易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掌握期货交易与投资分析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第4学期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银行基本柜台业务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操作银行柜台业务、储蓄初始操作、日常业务操作、特殊业务操作等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54学时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掌握银行基本柜台业务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第4学期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外汇交易与结算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汇率折算、外汇交易、外汇风险控制、国际结算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24学时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掌握外汇基本业务</w:t>
            </w:r>
          </w:p>
        </w:tc>
      </w:tr>
    </w:tbl>
    <w:p>
      <w:pPr>
        <w:spacing w:before="159"/>
        <w:ind w:left="602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十、毕业条件</w:t>
      </w:r>
    </w:p>
    <w:p>
      <w:pPr>
        <w:pStyle w:val="4"/>
        <w:spacing w:line="240" w:lineRule="auto"/>
        <w:ind w:left="420" w:firstLine="0"/>
        <w:rPr>
          <w:rFonts w:hint="eastAsia"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 xml:space="preserve">（一）毕业学分：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146</w:t>
      </w:r>
      <w:r>
        <w:rPr>
          <w:rFonts w:hint="eastAsia" w:ascii="仿宋" w:hAnsi="仿宋" w:eastAsia="仿宋" w:cs="仿宋"/>
          <w:sz w:val="21"/>
          <w:szCs w:val="21"/>
          <w:lang w:val="zh-CN"/>
        </w:rPr>
        <w:t xml:space="preserve">学分 </w:t>
      </w:r>
    </w:p>
    <w:p>
      <w:pPr>
        <w:pStyle w:val="4"/>
        <w:spacing w:line="240" w:lineRule="auto"/>
        <w:ind w:left="420" w:firstLine="0"/>
        <w:rPr>
          <w:rFonts w:hint="eastAsia"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（二）毕业条件：</w:t>
      </w:r>
    </w:p>
    <w:p>
      <w:pPr>
        <w:pStyle w:val="4"/>
        <w:spacing w:line="240" w:lineRule="auto"/>
        <w:ind w:left="420" w:firstLine="0"/>
        <w:rPr>
          <w:rFonts w:hint="eastAsia"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 xml:space="preserve"> 1. 思想品德及操行考核合格；</w:t>
      </w:r>
    </w:p>
    <w:p>
      <w:pPr>
        <w:pStyle w:val="4"/>
        <w:spacing w:line="240" w:lineRule="auto"/>
        <w:ind w:left="525" w:firstLine="0"/>
        <w:rPr>
          <w:rFonts w:hint="eastAsia" w:ascii="仿宋" w:hAnsi="仿宋" w:eastAsia="仿宋" w:cs="仿宋"/>
          <w:sz w:val="21"/>
          <w:szCs w:val="21"/>
          <w:lang w:val="zh-CN"/>
        </w:rPr>
      </w:pPr>
      <w:r>
        <w:rPr>
          <w:rFonts w:hint="eastAsia" w:ascii="仿宋" w:hAnsi="仿宋" w:eastAsia="仿宋" w:cs="仿宋"/>
          <w:sz w:val="21"/>
          <w:szCs w:val="21"/>
          <w:lang w:val="zh-CN"/>
        </w:rPr>
        <w:t>2. 修完本专业规定的课程，考核成绩合格，修满规定学分；</w:t>
      </w:r>
    </w:p>
    <w:p>
      <w:pPr>
        <w:pStyle w:val="3"/>
        <w:rPr>
          <w:rFonts w:hint="eastAsia" w:ascii="仿宋" w:hAnsi="仿宋" w:eastAsia="仿宋" w:cs="仿宋"/>
          <w:b/>
          <w:sz w:val="24"/>
        </w:rPr>
      </w:pPr>
    </w:p>
    <w:p>
      <w:pPr>
        <w:pStyle w:val="3"/>
        <w:rPr>
          <w:rFonts w:hint="eastAsia" w:ascii="仿宋" w:hAnsi="仿宋" w:eastAsia="仿宋" w:cs="仿宋"/>
          <w:b/>
          <w:sz w:val="24"/>
        </w:rPr>
      </w:pPr>
    </w:p>
    <w:p>
      <w:pPr>
        <w:pStyle w:val="3"/>
        <w:rPr>
          <w:rFonts w:hint="eastAsia" w:ascii="仿宋" w:hAnsi="仿宋" w:eastAsia="仿宋" w:cs="仿宋"/>
          <w:b/>
          <w:sz w:val="24"/>
        </w:rPr>
      </w:pPr>
    </w:p>
    <w:p>
      <w:pPr>
        <w:pStyle w:val="3"/>
        <w:rPr>
          <w:rFonts w:hint="eastAsia" w:ascii="仿宋" w:hAnsi="仿宋" w:eastAsia="仿宋" w:cs="仿宋"/>
          <w:b/>
          <w:sz w:val="24"/>
        </w:rPr>
      </w:pPr>
    </w:p>
    <w:tbl>
      <w:tblPr>
        <w:tblStyle w:val="5"/>
        <w:tblpPr w:leftFromText="180" w:rightFromText="180" w:vertAnchor="text" w:horzAnchor="page" w:tblpXSpec="center" w:tblpY="278"/>
        <w:tblOverlap w:val="never"/>
        <w:tblW w:w="957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315"/>
        <w:gridCol w:w="300"/>
        <w:gridCol w:w="2550"/>
        <w:gridCol w:w="615"/>
        <w:gridCol w:w="668"/>
        <w:gridCol w:w="472"/>
        <w:gridCol w:w="570"/>
        <w:gridCol w:w="450"/>
        <w:gridCol w:w="465"/>
        <w:gridCol w:w="465"/>
        <w:gridCol w:w="465"/>
        <w:gridCol w:w="465"/>
        <w:gridCol w:w="495"/>
        <w:gridCol w:w="465"/>
        <w:gridCol w:w="4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级高职金融管理专业教学进程表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教育平台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学时分配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学期开课学时数或实践周数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课外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综合素质教育平台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思政必修课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通识教育必修课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大学体育I、II、III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职业发展与就业指导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大学生创新创业基础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大学英语I、II（非英语专业）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通识教育选修课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美育与艺术类课程（限选）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经济与管理类课程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2x2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32x2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人文与社科类课程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自然与科技类课程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创新与创业类课程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体育与健康类课程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开放选修课程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素质拓展必修课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军事训练及入学教育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第二课堂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读书活动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专业教育平台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专业基础必修课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经济数学（经济类专业）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经济学基础●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金融学基础●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金融市场基础知识●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保险理论与实务●</w:t>
            </w: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(金融管理专业)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  <w:t>54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证券发行与承销●</w:t>
            </w: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（证券投资与管理专业）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  <w:t>54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统计学基础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金融管理方向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证券市场</w:t>
            </w: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法律法规●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国际金融实务●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商业银行基本业务●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证券投资基金●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金融英语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期货投资理论与实务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证券投资分析●■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互联网金融●■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个人理财实务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投资学概论●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证券市场</w:t>
            </w: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法律法规●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  <w:t>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金融英语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证券投资基金●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color w:val="000000"/>
                <w:sz w:val="18"/>
                <w:szCs w:val="18"/>
                <w:u w:val="none"/>
                <w:lang w:val="en-US" w:eastAsia="zh-CN" w:bidi="zh-CN"/>
              </w:rPr>
              <w:t>72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证券投资分析●■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eastAsia" w:cs="仿宋"/>
                <w:i w:val="0"/>
                <w:color w:val="auto"/>
                <w:sz w:val="18"/>
                <w:szCs w:val="18"/>
                <w:u w:val="none"/>
                <w:lang w:val="en-US" w:eastAsia="zh-CN" w:bidi="zh-CN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期货交易基础●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证券交易●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互联网金融●■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财政与税收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公司理财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zh-CN" w:eastAsia="zh-CN" w:bidi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金融营销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风险管理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投资银行学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金融社交礼仪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集中实践必修课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18W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毕业设计（论文）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学分及学时小计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毕业最低要求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146.0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2538 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1270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bookmarkStart w:id="0" w:name="_GoBack"/>
            <w:bookmarkEnd w:id="0"/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必考证书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大学英语应用能力B级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全国计算机水平考试（一级）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证券资格从业证书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选考证书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大学英语应用能力A级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全国计算机水平考试（二级）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基金资格从业证书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期货资格从业证书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注：1.课程名称后标注●表示核心课程，课程名称后标注■表示必须在机房上课。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课程学分学时分配及比例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占总学分  比例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占总学时比例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实践学时占比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思政必修课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通识教育课必修课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14.73%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12.92%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通识教育课选修课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素质拓展课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专业基础必修课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20.55%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18.75%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 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26.37%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24.19%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集中实践必修课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20.55%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50.04%</w:t>
            </w:r>
          </w:p>
        </w:tc>
      </w:tr>
    </w:tbl>
    <w:p>
      <w:pPr>
        <w:pStyle w:val="3"/>
        <w:rPr>
          <w:rFonts w:hint="eastAsia" w:ascii="仿宋" w:hAnsi="仿宋" w:eastAsia="仿宋" w:cs="仿宋"/>
          <w:b/>
          <w:sz w:val="20"/>
        </w:rPr>
      </w:pPr>
    </w:p>
    <w:p>
      <w:pPr>
        <w:overflowPunct w:val="0"/>
        <w:adjustRightInd w:val="0"/>
        <w:ind w:firstLine="562" w:firstLineChars="200"/>
        <w:outlineLvl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金融管理专业/证券投资与管理专业</w:t>
      </w:r>
    </w:p>
    <w:p>
      <w:pPr>
        <w:overflowPunct w:val="0"/>
        <w:adjustRightInd w:val="0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、实施保障</w:t>
      </w: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</w:rPr>
        <w:t>（一）师资队伍</w:t>
      </w:r>
      <w:r>
        <w:rPr>
          <w:rFonts w:hint="eastAsia" w:ascii="仿宋" w:hAnsi="仿宋" w:eastAsia="仿宋" w:cs="仿宋"/>
          <w:b/>
          <w:szCs w:val="32"/>
          <w:lang w:val="en-US" w:eastAsia="zh-CN"/>
        </w:rPr>
        <w:t>:</w:t>
      </w: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1.稳定现有教师队伍，通过专业上的交流、关心或帮扶；通过工作中各部门对教师教学工作中的支持；通过待遇、津贴各方面的保障，使现有老师既能在教学上精益求精，又对职业前景、对学校充满希望。</w:t>
      </w: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2.根据学校发展、做大做强的规划及招生情况，适时补充师资力量，向外招聘具有硕士或中级以上金融管理、证券投资与管理、金融工程等相关专业的人才，尤其是具有企业经验的，即既能熟练讲解理论知识，又有丰富实操技能的人才，是我们职业本科学校最需要，也是最能体现我们特色的。学以致用，学技能为开拓职业生涯渠道、为社会经济发展服务才是我们的努力方向，与传统的本科或重点大学形成不同的发展思路，才能形成自己的特色和优势。特别是在目前人才市场接近饱和、竞争激烈，就业难度加大的情况下，引进既懂理论、又善实操的教师，将直接提高学生的专业应用技能水平，提高就业能力。这无疑是吸引、扩大生源的一个重要法宝。</w:t>
      </w:r>
    </w:p>
    <w:p>
      <w:pPr>
        <w:overflowPunct w:val="0"/>
        <w:adjustRightInd w:val="0"/>
        <w:ind w:firstLine="440" w:firstLineChars="200"/>
        <w:rPr>
          <w:rFonts w:hint="default" w:ascii="仿宋" w:hAnsi="仿宋" w:eastAsia="仿宋" w:cs="仿宋"/>
          <w:lang w:val="en-US" w:eastAsia="zh-CN"/>
        </w:rPr>
      </w:pP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（二）教学设施</w:t>
      </w:r>
    </w:p>
    <w:p>
      <w:pPr>
        <w:tabs>
          <w:tab w:val="left" w:pos="2758"/>
        </w:tabs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1.现有教学设施包括多媒体课室及少数可以联网教学的机房课室；对满足基本的教学任务，基本问题不大；</w:t>
      </w:r>
    </w:p>
    <w:p>
      <w:pPr>
        <w:tabs>
          <w:tab w:val="left" w:pos="2758"/>
        </w:tabs>
        <w:overflowPunct w:val="0"/>
        <w:adjustRightInd w:val="0"/>
        <w:ind w:firstLine="442" w:firstLineChars="200"/>
        <w:outlineLvl w:val="0"/>
        <w:rPr>
          <w:rFonts w:hint="default" w:ascii="仿宋" w:hAnsi="仿宋" w:eastAsia="仿宋" w:cs="仿宋"/>
          <w:b/>
          <w:bCs w:val="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2.如果要升本、并做大做强专业，还需建立一些金融实验室、投资模拟/实操中心（后者已在准备实施中）等，考虑到学校资金紧张问题，这方面可以逐步进行、展开。</w:t>
      </w:r>
    </w:p>
    <w:p>
      <w:pPr>
        <w:tabs>
          <w:tab w:val="left" w:pos="2758"/>
        </w:tabs>
        <w:overflowPunct w:val="0"/>
        <w:adjustRightInd w:val="0"/>
        <w:ind w:firstLine="440" w:firstLineChars="200"/>
        <w:outlineLvl w:val="0"/>
        <w:rPr>
          <w:rFonts w:hint="default" w:ascii="仿宋" w:hAnsi="仿宋" w:eastAsia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Cs w:val="32"/>
          <w:lang w:val="en-US" w:eastAsia="zh-CN"/>
        </w:rPr>
        <w:tab/>
      </w: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  <w:lang w:eastAsia="zh-CN"/>
        </w:rPr>
      </w:pPr>
      <w:r>
        <w:rPr>
          <w:rFonts w:hint="eastAsia" w:ascii="仿宋" w:hAnsi="仿宋" w:eastAsia="仿宋" w:cs="仿宋"/>
          <w:b/>
          <w:szCs w:val="32"/>
        </w:rPr>
        <w:t>（三）教学资源</w:t>
      </w:r>
      <w:r>
        <w:rPr>
          <w:rFonts w:hint="eastAsia" w:ascii="仿宋" w:hAnsi="仿宋" w:eastAsia="仿宋" w:cs="仿宋"/>
          <w:b/>
          <w:szCs w:val="32"/>
          <w:lang w:eastAsia="zh-CN"/>
        </w:rPr>
        <w:t>：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1.教材：目前主要是大连理工出版社的教材（除非他们没有出版），总体上质量编的不错，绝大多数教材可以继续使用该出版社的；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2.多媒体课室、机房课室：基本能让课程内容以丰富的PPT模式展示、讲解给学生，确保多媒体等正常播放，这一块也没什么问题；</w:t>
      </w:r>
    </w:p>
    <w:p>
      <w:pPr>
        <w:overflowPunct w:val="0"/>
        <w:adjustRightInd w:val="0"/>
        <w:ind w:firstLine="442" w:firstLineChars="20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3.来自行业经验、概况等方面的文本资料、视频资料、音频资料；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教师来自行业的经验或案例：因有企业/行业经验的教师不是很多，所以这一块我们虽然不是短板，但和其他院校比，也没占绝对的优势。改善的措施是，一、根据需求适时引进；二、对在职的老师进行这方面经验的加强，如和相关金融机构合作，对他们进行免费培训。</w:t>
      </w:r>
    </w:p>
    <w:p>
      <w:pPr>
        <w:overflowPunct w:val="0"/>
        <w:adjustRightInd w:val="0"/>
        <w:ind w:firstLine="442" w:firstLineChars="20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来自学生的资源：鼓励学生利用寒暑假进行专业领域工作的实习，将学生来自行业的体会、经验作为一个教学资源，在课堂上与老师、同学进行分享，老师可适时进行总结和提高。学生也参与到专业学习、技能实践、人才培养的过程中，效果会更好。</w:t>
      </w:r>
    </w:p>
    <w:p>
      <w:pPr>
        <w:overflowPunct w:val="0"/>
        <w:adjustRightInd w:val="0"/>
        <w:ind w:firstLine="440" w:firstLineChars="200"/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教学方法</w:t>
      </w:r>
    </w:p>
    <w:p>
      <w:pPr>
        <w:numPr>
          <w:ilvl w:val="0"/>
          <w:numId w:val="0"/>
        </w:numPr>
        <w:overflowPunct w:val="0"/>
        <w:adjustRightInd w:val="0"/>
        <w:outlineLvl w:val="0"/>
        <w:rPr>
          <w:rFonts w:hint="default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 xml:space="preserve">    1.讲授法（主要适用于定义等理论方面的解释）；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2.问题教学法（运用相关专业理论原理解决</w:t>
      </w:r>
      <w:r>
        <w:rPr>
          <w:rFonts w:hint="eastAsia" w:cs="仿宋"/>
          <w:b/>
          <w:bCs/>
          <w:color w:val="auto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解释相关案例的问题）；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3.讨论教学法：（不给固定答案，让同学们自由发表自己的意见看法，教师最后做点评）；</w:t>
      </w:r>
    </w:p>
    <w:p>
      <w:pPr>
        <w:overflowPunct w:val="0"/>
        <w:adjustRightInd w:val="0"/>
        <w:ind w:firstLine="442" w:firstLineChars="200"/>
        <w:rPr>
          <w:rFonts w:hint="default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4.实操（边学边干）教学法：（一些在实操中经常会涉及到的技能，条件允许时。可在实操平台进行训练、实操）。</w:t>
      </w:r>
    </w:p>
    <w:p>
      <w:pPr>
        <w:overflowPunct w:val="0"/>
        <w:adjustRightInd w:val="0"/>
        <w:ind w:firstLine="440" w:firstLineChars="200"/>
        <w:rPr>
          <w:rFonts w:hint="eastAsia" w:ascii="仿宋" w:hAnsi="仿宋" w:eastAsia="仿宋" w:cs="仿宋"/>
        </w:rPr>
      </w:pPr>
    </w:p>
    <w:p>
      <w:pPr>
        <w:overflowPunct w:val="0"/>
        <w:adjustRightInd w:val="0"/>
        <w:ind w:firstLine="442" w:firstLineChars="200"/>
        <w:outlineLvl w:val="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（五）学习评价</w:t>
      </w:r>
    </w:p>
    <w:p>
      <w:pPr>
        <w:overflowPunct w:val="0"/>
        <w:adjustRightInd w:val="0"/>
        <w:ind w:firstLine="442" w:firstLineChars="200"/>
        <w:rPr>
          <w:rFonts w:hint="eastAsia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1.学生专业理论掌握得如何，有无扎实的专业基础知识；</w:t>
      </w:r>
    </w:p>
    <w:p>
      <w:pPr>
        <w:overflowPunct w:val="0"/>
        <w:adjustRightInd w:val="0"/>
        <w:ind w:firstLine="442" w:firstLineChars="200"/>
        <w:rPr>
          <w:rFonts w:hint="default" w:ascii="仿宋" w:hAnsi="仿宋" w:eastAsia="仿宋" w:cs="仿宋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lang w:val="en-US" w:eastAsia="zh-CN"/>
        </w:rPr>
        <w:t>2.学生学以致用方面做得如何？能不能把学到的技能转化为职业能力、就业能力？</w:t>
      </w:r>
    </w:p>
    <w:p>
      <w:pPr>
        <w:overflowPunct w:val="0"/>
        <w:adjustRightInd w:val="0"/>
        <w:ind w:firstLine="440" w:firstLineChars="200"/>
        <w:rPr>
          <w:rFonts w:hint="eastAsia" w:ascii="仿宋" w:hAnsi="仿宋" w:eastAsia="仿宋" w:cs="仿宋"/>
        </w:rPr>
      </w:pPr>
    </w:p>
    <w:p>
      <w:pPr>
        <w:numPr>
          <w:ilvl w:val="0"/>
          <w:numId w:val="0"/>
        </w:numPr>
        <w:overflowPunct w:val="0"/>
        <w:adjustRightInd w:val="0"/>
        <w:ind w:leftChars="200"/>
        <w:outlineLvl w:val="0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b/>
          <w:szCs w:val="32"/>
        </w:rPr>
        <w:t>质量管理</w:t>
      </w:r>
    </w:p>
    <w:p>
      <w:pPr>
        <w:numPr>
          <w:ilvl w:val="0"/>
          <w:numId w:val="0"/>
        </w:numPr>
        <w:overflowPunct w:val="0"/>
        <w:adjustRightInd w:val="0"/>
        <w:ind w:leftChars="200"/>
        <w:outlineLvl w:val="0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1.根据前项学生学习效果的状况，分析有哪些成功之处及不完善之处？</w:t>
      </w:r>
    </w:p>
    <w:p>
      <w:pPr>
        <w:numPr>
          <w:ilvl w:val="0"/>
          <w:numId w:val="0"/>
        </w:numPr>
        <w:overflowPunct w:val="0"/>
        <w:adjustRightInd w:val="0"/>
        <w:ind w:leftChars="200"/>
        <w:outlineLvl w:val="0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2.根据上面的分析，对于成功之处，比如教学方法、思维方法、理论联系实际的方法等，需发扬优点；</w:t>
      </w:r>
    </w:p>
    <w:p>
      <w:pPr>
        <w:numPr>
          <w:ilvl w:val="0"/>
          <w:numId w:val="0"/>
        </w:numPr>
        <w:overflowPunct w:val="0"/>
        <w:adjustRightInd w:val="0"/>
        <w:ind w:leftChars="200"/>
        <w:outlineLvl w:val="0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3.如果是不完善之处，要分析是哪方面的，是教学设施（如多媒体有无经常出故障），还是教师方面或学生懒散原因？教师方面：是教学方法呆板、照本宣科或教学任务太重、备课不充分导致照本宣科等原因？  学生方面，是学习方法，还是不爱学习方面？  不爱学习方面，是未认识到专业知识的重要性，还是经常玩游戏、导致睡眠不足、导致未能集中精力听课等等。</w:t>
      </w:r>
    </w:p>
    <w:p>
      <w:pPr>
        <w:numPr>
          <w:ilvl w:val="0"/>
          <w:numId w:val="0"/>
        </w:numPr>
        <w:overflowPunct w:val="0"/>
        <w:adjustRightInd w:val="0"/>
        <w:ind w:leftChars="200"/>
        <w:outlineLvl w:val="0"/>
        <w:rPr>
          <w:rFonts w:hint="default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Cs w:val="32"/>
          <w:lang w:val="en-US" w:eastAsia="zh-CN"/>
        </w:rPr>
        <w:t>4.针对上面原因，有的放矢，有针对性地采取措施，完善那些不完善之处，从而提高教学效果和质量。</w:t>
      </w:r>
    </w:p>
    <w:p>
      <w:pPr>
        <w:pStyle w:val="3"/>
        <w:rPr>
          <w:rFonts w:hint="eastAsia" w:ascii="仿宋" w:hAnsi="仿宋" w:eastAsia="仿宋" w:cs="仿宋"/>
          <w:b/>
          <w:sz w:val="20"/>
        </w:rPr>
      </w:pPr>
    </w:p>
    <w:p>
      <w:pPr>
        <w:rPr>
          <w:rFonts w:hint="eastAsia" w:ascii="仿宋" w:hAnsi="仿宋" w:eastAsia="仿宋" w:cs="仿宋"/>
        </w:rPr>
      </w:pPr>
    </w:p>
    <w:sectPr>
      <w:pgSz w:w="11910" w:h="16840"/>
      <w:pgMar w:top="1080" w:right="100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60111"/>
    <w:multiLevelType w:val="singleLevel"/>
    <w:tmpl w:val="9FD6011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7FE9"/>
    <w:rsid w:val="05675D62"/>
    <w:rsid w:val="0A2454FB"/>
    <w:rsid w:val="153355A5"/>
    <w:rsid w:val="205357CE"/>
    <w:rsid w:val="29D516E3"/>
    <w:rsid w:val="3042797E"/>
    <w:rsid w:val="39EE121D"/>
    <w:rsid w:val="3C891EDB"/>
    <w:rsid w:val="457A19FE"/>
    <w:rsid w:val="53A75911"/>
    <w:rsid w:val="575B6FF4"/>
    <w:rsid w:val="71720299"/>
    <w:rsid w:val="72F23062"/>
    <w:rsid w:val="7B917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92"/>
      <w:outlineLvl w:val="1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rFonts w:ascii="仿宋_GB2312" w:hAnsi="宋体" w:eastAsia="仿宋_GB2312"/>
      <w:sz w:val="28"/>
      <w:szCs w:val="2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2019-05-18T04:13:00Z</dcterms:created>
  <dc:creator>微软用户</dc:creator>
  <cp:lastModifiedBy>Z睿悟</cp:lastModifiedBy>
  <dcterms:modified xsi:type="dcterms:W3CDTF">2019-11-25T09:40:57Z</dcterms:modified>
  <dc:title>      　　 广州科技职业技术学院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2019-05-18T00:00:00Z</vt:filetime>
  </property>
  <property fmtid="{D5CDD505-2E9C-101B-9397-08002B2CF9AE}" pid="5" name="KSOProductBuildVer">
    <vt:lpwstr>2052-11.1.0.9175</vt:lpwstr>
  </property>
</Properties>
</file>