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广东省大学生创新创业教育示范学校评分表</w:t>
      </w:r>
    </w:p>
    <w:tbl>
      <w:tblPr>
        <w:tblStyle w:val="3"/>
        <w:tblpPr w:leftFromText="180" w:rightFromText="180" w:vertAnchor="page" w:horzAnchor="page" w:tblpX="1771" w:tblpY="2820"/>
        <w:tblOverlap w:val="never"/>
        <w:tblW w:w="9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4395"/>
        <w:gridCol w:w="1418"/>
        <w:gridCol w:w="1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指标及分值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学校自评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一、组织管理与保障机制（15分）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领导体制（3分）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发展规划（3分）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工作机构（3分）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经费保障（2分）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工作制度（2分）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考核激励机制（2分）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二、创新创业教学（30分）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修订人才培养方案（8分）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创新创业课程（6分）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师资队伍（8分）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弹性学制（4分）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教学研究（4分）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三、创新创业实践平台建设及实践活动（30分）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实践平台建设（8分）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平台管理（3分）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指导服务（5分）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创新创业实践活动（8分）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示范基地（6分）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1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四、创新创业教育工作成效（15分）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就业质量和创新创业教育和指导服务满意度（5分）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创新创业获奖情况（4分）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创新创业案例（3分）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创新创业文化氛围（3分）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五、特色亮点与辐射带动（10分）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特色亮点与辐射带动（10分）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520" w:lineRule="exact"/>
        <w:jc w:val="left"/>
      </w:pPr>
      <w:r>
        <w:rPr>
          <w:rFonts w:hint="eastAsia" w:ascii="黑体" w:hAnsi="黑体" w:eastAsia="黑体"/>
          <w:sz w:val="32"/>
          <w:szCs w:val="32"/>
        </w:rPr>
        <w:t>申报高校：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5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lenovo.CFYDLCNKU</dc:creator>
  <cp:lastModifiedBy>樊斌霞</cp:lastModifiedBy>
  <dcterms:modified xsi:type="dcterms:W3CDTF">2017-11-22T01:26:33Z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